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30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6945"/>
      </w:tblGrid>
      <w:tr w:rsidR="00A82979" w:rsidRPr="005111C8" w14:paraId="7650F03D" w14:textId="77777777" w:rsidTr="00926C89">
        <w:tc>
          <w:tcPr>
            <w:tcW w:w="893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9B63C" w14:textId="7C4F18CD" w:rsidR="00A82979" w:rsidRPr="005111C8" w:rsidRDefault="0049036A" w:rsidP="0039197A">
            <w:pPr>
              <w:rPr>
                <w:rFonts w:cstheme="minorHAnsi"/>
                <w:sz w:val="18"/>
                <w:szCs w:val="18"/>
                <w:lang w:eastAsia="en-GB"/>
              </w:rPr>
            </w:pPr>
            <w:r>
              <w:rPr>
                <w:rFonts w:cstheme="minorHAnsi"/>
                <w:color w:val="FFFFFF" w:themeColor="background1"/>
                <w:sz w:val="18"/>
                <w:szCs w:val="18"/>
                <w:lang w:eastAsia="en-GB"/>
              </w:rPr>
              <w:t>Role details:</w:t>
            </w:r>
          </w:p>
        </w:tc>
      </w:tr>
      <w:tr w:rsidR="00A82979" w:rsidRPr="005111C8" w14:paraId="119190EE" w14:textId="77777777" w:rsidTr="00926C89">
        <w:trPr>
          <w:trHeight w:val="247"/>
        </w:trPr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D4933" w14:textId="77777777" w:rsidR="00A82979" w:rsidRPr="005111C8" w:rsidRDefault="00A82979" w:rsidP="0039197A">
            <w:pPr>
              <w:rPr>
                <w:rFonts w:cstheme="minorHAnsi"/>
                <w:b w:val="0"/>
                <w:sz w:val="18"/>
                <w:szCs w:val="18"/>
                <w:lang w:eastAsia="en-GB"/>
              </w:rPr>
            </w:pPr>
            <w:r>
              <w:rPr>
                <w:rFonts w:cstheme="minorHAnsi"/>
                <w:sz w:val="18"/>
                <w:szCs w:val="18"/>
                <w:lang w:eastAsia="en-GB"/>
              </w:rPr>
              <w:t>Job Title:</w:t>
            </w:r>
          </w:p>
        </w:tc>
        <w:tc>
          <w:tcPr>
            <w:tcW w:w="69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DF8E0" w14:textId="4D8F3635" w:rsidR="00A82979" w:rsidRPr="005111C8" w:rsidRDefault="00D123C6" w:rsidP="0039197A">
            <w:pPr>
              <w:rPr>
                <w:rFonts w:cstheme="minorHAnsi"/>
                <w:sz w:val="18"/>
                <w:szCs w:val="18"/>
                <w:lang w:eastAsia="en-GB"/>
              </w:rPr>
            </w:pPr>
            <w:r>
              <w:rPr>
                <w:rFonts w:cstheme="minorHAnsi"/>
                <w:sz w:val="18"/>
                <w:szCs w:val="18"/>
                <w:lang w:eastAsia="en-GB"/>
              </w:rPr>
              <w:t>External Reporting Accountant</w:t>
            </w:r>
          </w:p>
        </w:tc>
      </w:tr>
      <w:tr w:rsidR="00A82979" w:rsidRPr="005111C8" w14:paraId="4EF6EC90" w14:textId="77777777" w:rsidTr="00926C89">
        <w:trPr>
          <w:trHeight w:val="197"/>
        </w:trPr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1AF23" w14:textId="77777777" w:rsidR="00A82979" w:rsidRPr="005111C8" w:rsidRDefault="00A82979" w:rsidP="0039197A">
            <w:pPr>
              <w:rPr>
                <w:rFonts w:cstheme="minorHAnsi"/>
                <w:b w:val="0"/>
                <w:sz w:val="18"/>
                <w:szCs w:val="18"/>
                <w:lang w:eastAsia="en-GB"/>
              </w:rPr>
            </w:pPr>
            <w:r>
              <w:rPr>
                <w:rFonts w:cstheme="minorHAnsi"/>
                <w:sz w:val="18"/>
                <w:szCs w:val="18"/>
                <w:lang w:eastAsia="en-GB"/>
              </w:rPr>
              <w:t>Job Family</w:t>
            </w:r>
          </w:p>
        </w:tc>
        <w:tc>
          <w:tcPr>
            <w:tcW w:w="69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89FCA" w14:textId="7B6EBF87" w:rsidR="00A82979" w:rsidRPr="004F63DD" w:rsidRDefault="00D123C6" w:rsidP="0039197A">
            <w:pPr>
              <w:rPr>
                <w:rFonts w:cstheme="minorHAnsi"/>
                <w:sz w:val="18"/>
                <w:szCs w:val="18"/>
                <w:lang w:eastAsia="en-GB"/>
              </w:rPr>
            </w:pPr>
            <w:r>
              <w:rPr>
                <w:rFonts w:cstheme="minorHAnsi"/>
                <w:sz w:val="18"/>
                <w:szCs w:val="18"/>
                <w:lang w:eastAsia="en-GB"/>
              </w:rPr>
              <w:t>External Reporting</w:t>
            </w:r>
          </w:p>
        </w:tc>
      </w:tr>
      <w:tr w:rsidR="00A82979" w:rsidRPr="005111C8" w14:paraId="381CBF39" w14:textId="77777777" w:rsidTr="00926C89">
        <w:trPr>
          <w:trHeight w:val="141"/>
        </w:trPr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EE71A" w14:textId="77777777" w:rsidR="00A82979" w:rsidRPr="005111C8" w:rsidRDefault="00A82979" w:rsidP="0039197A">
            <w:pPr>
              <w:rPr>
                <w:rFonts w:cstheme="minorHAnsi"/>
                <w:b w:val="0"/>
                <w:sz w:val="18"/>
                <w:szCs w:val="18"/>
                <w:lang w:eastAsia="en-GB"/>
              </w:rPr>
            </w:pPr>
            <w:r>
              <w:rPr>
                <w:rFonts w:cstheme="minorHAnsi"/>
                <w:sz w:val="18"/>
                <w:szCs w:val="18"/>
                <w:lang w:eastAsia="en-GB"/>
              </w:rPr>
              <w:t>Department:</w:t>
            </w:r>
          </w:p>
        </w:tc>
        <w:tc>
          <w:tcPr>
            <w:tcW w:w="69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49A9F" w14:textId="488BCBE8" w:rsidR="00A82979" w:rsidRPr="005111C8" w:rsidRDefault="00D123C6" w:rsidP="0039197A">
            <w:pPr>
              <w:rPr>
                <w:rFonts w:cstheme="minorHAnsi"/>
                <w:sz w:val="18"/>
                <w:szCs w:val="18"/>
                <w:lang w:eastAsia="en-GB"/>
              </w:rPr>
            </w:pPr>
            <w:r>
              <w:rPr>
                <w:rFonts w:cstheme="minorHAnsi"/>
                <w:sz w:val="18"/>
                <w:szCs w:val="18"/>
                <w:lang w:eastAsia="en-GB"/>
              </w:rPr>
              <w:t>Corporate Services</w:t>
            </w:r>
          </w:p>
        </w:tc>
      </w:tr>
      <w:tr w:rsidR="00A82979" w:rsidRPr="005111C8" w14:paraId="6D6D4910" w14:textId="77777777" w:rsidTr="00926C89">
        <w:trPr>
          <w:trHeight w:val="160"/>
        </w:trPr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0B21E" w14:textId="77777777" w:rsidR="00A82979" w:rsidRPr="005111C8" w:rsidRDefault="00A82979" w:rsidP="0039197A">
            <w:pPr>
              <w:rPr>
                <w:rFonts w:cstheme="minorHAnsi"/>
                <w:b w:val="0"/>
                <w:sz w:val="18"/>
                <w:szCs w:val="18"/>
                <w:lang w:eastAsia="en-GB"/>
              </w:rPr>
            </w:pPr>
            <w:r>
              <w:rPr>
                <w:rFonts w:cstheme="minorHAnsi"/>
                <w:sz w:val="18"/>
                <w:szCs w:val="18"/>
                <w:lang w:eastAsia="en-GB"/>
              </w:rPr>
              <w:t>Location / Region</w:t>
            </w:r>
          </w:p>
        </w:tc>
        <w:tc>
          <w:tcPr>
            <w:tcW w:w="69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DFC84" w14:textId="0961D2A9" w:rsidR="00A82979" w:rsidRPr="005111C8" w:rsidRDefault="00D123C6" w:rsidP="0039197A">
            <w:pPr>
              <w:rPr>
                <w:rFonts w:cstheme="minorHAnsi"/>
                <w:sz w:val="18"/>
                <w:szCs w:val="18"/>
                <w:lang w:eastAsia="en-GB"/>
              </w:rPr>
            </w:pPr>
            <w:r>
              <w:rPr>
                <w:rFonts w:cstheme="minorHAnsi"/>
                <w:sz w:val="18"/>
                <w:szCs w:val="18"/>
                <w:lang w:eastAsia="en-GB"/>
              </w:rPr>
              <w:t>Warrington</w:t>
            </w:r>
          </w:p>
        </w:tc>
      </w:tr>
      <w:tr w:rsidR="00A82979" w:rsidRPr="005111C8" w14:paraId="37EE821D" w14:textId="77777777" w:rsidTr="00926C89">
        <w:trPr>
          <w:trHeight w:val="178"/>
        </w:trPr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8E759" w14:textId="77777777" w:rsidR="00A82979" w:rsidRPr="005111C8" w:rsidRDefault="00A82979" w:rsidP="0039197A">
            <w:pPr>
              <w:rPr>
                <w:rFonts w:cstheme="minorHAnsi"/>
                <w:b w:val="0"/>
                <w:sz w:val="18"/>
                <w:szCs w:val="18"/>
                <w:lang w:eastAsia="en-GB"/>
              </w:rPr>
            </w:pPr>
            <w:r>
              <w:rPr>
                <w:rFonts w:cstheme="minorHAnsi"/>
                <w:sz w:val="18"/>
                <w:szCs w:val="18"/>
                <w:lang w:eastAsia="en-GB"/>
              </w:rPr>
              <w:t>Reports To:</w:t>
            </w:r>
          </w:p>
        </w:tc>
        <w:tc>
          <w:tcPr>
            <w:tcW w:w="69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FF09D" w14:textId="3E26E135" w:rsidR="00A82979" w:rsidRPr="005111C8" w:rsidRDefault="009950A9" w:rsidP="0039197A">
            <w:pPr>
              <w:rPr>
                <w:rFonts w:cstheme="minorHAnsi"/>
                <w:sz w:val="18"/>
                <w:szCs w:val="18"/>
                <w:lang w:eastAsia="en-GB"/>
              </w:rPr>
            </w:pPr>
            <w:r>
              <w:rPr>
                <w:rFonts w:cstheme="minorHAnsi"/>
                <w:sz w:val="18"/>
                <w:szCs w:val="18"/>
                <w:lang w:eastAsia="en-GB"/>
              </w:rPr>
              <w:t>External Reporting Manager</w:t>
            </w:r>
          </w:p>
        </w:tc>
      </w:tr>
      <w:tr w:rsidR="00A82979" w:rsidRPr="005111C8" w14:paraId="0CD7EFC2" w14:textId="77777777" w:rsidTr="00926C89">
        <w:trPr>
          <w:trHeight w:val="247"/>
        </w:trPr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4E138" w14:textId="77777777" w:rsidR="00A82979" w:rsidRPr="005111C8" w:rsidRDefault="00A82979" w:rsidP="0039197A">
            <w:pPr>
              <w:rPr>
                <w:rFonts w:cstheme="minorHAnsi"/>
                <w:b w:val="0"/>
                <w:sz w:val="18"/>
                <w:szCs w:val="18"/>
                <w:lang w:eastAsia="en-GB"/>
              </w:rPr>
            </w:pPr>
            <w:r>
              <w:rPr>
                <w:rFonts w:cstheme="minorHAnsi"/>
                <w:sz w:val="18"/>
                <w:szCs w:val="18"/>
                <w:lang w:eastAsia="en-GB"/>
              </w:rPr>
              <w:t>Contract Type:</w:t>
            </w:r>
          </w:p>
        </w:tc>
        <w:tc>
          <w:tcPr>
            <w:tcW w:w="69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0F8DC" w14:textId="76EC691C" w:rsidR="00A82979" w:rsidRPr="005111C8" w:rsidRDefault="00D123C6" w:rsidP="0039197A">
            <w:pPr>
              <w:rPr>
                <w:rFonts w:cstheme="minorHAnsi"/>
                <w:sz w:val="18"/>
                <w:szCs w:val="18"/>
                <w:lang w:eastAsia="en-GB"/>
              </w:rPr>
            </w:pPr>
            <w:r>
              <w:rPr>
                <w:rFonts w:cstheme="minorHAnsi"/>
                <w:sz w:val="18"/>
                <w:szCs w:val="18"/>
                <w:lang w:eastAsia="en-GB"/>
              </w:rPr>
              <w:t xml:space="preserve">Permanent </w:t>
            </w:r>
          </w:p>
        </w:tc>
      </w:tr>
    </w:tbl>
    <w:p w14:paraId="7BF30E54" w14:textId="77777777" w:rsidR="00A82979" w:rsidRDefault="00A8297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6"/>
      </w:tblGrid>
      <w:tr w:rsidR="0060344A" w:rsidRPr="007847BA" w14:paraId="3F084E97" w14:textId="77777777" w:rsidTr="6019043B">
        <w:tc>
          <w:tcPr>
            <w:tcW w:w="9926" w:type="dxa"/>
          </w:tcPr>
          <w:p w14:paraId="102EF620" w14:textId="77777777" w:rsidR="0060344A" w:rsidRDefault="0060344A" w:rsidP="0060344A">
            <w:pPr>
              <w:jc w:val="both"/>
              <w:rPr>
                <w:b w:val="0"/>
                <w:bCs/>
                <w:sz w:val="22"/>
              </w:rPr>
            </w:pPr>
          </w:p>
          <w:tbl>
            <w:tblPr>
              <w:tblW w:w="9016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016"/>
            </w:tblGrid>
            <w:tr w:rsidR="009950A9" w:rsidRPr="00281BFF" w14:paraId="573CFA4D" w14:textId="77777777" w:rsidTr="00C477BC">
              <w:trPr>
                <w:trHeight w:hRule="exact" w:val="20"/>
              </w:trPr>
              <w:tc>
                <w:tcPr>
                  <w:tcW w:w="9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9EA9403" w14:textId="77777777" w:rsidR="009950A9" w:rsidRDefault="009950A9">
                  <w:pPr>
                    <w:rPr>
                      <w:sz w:val="2"/>
                    </w:rPr>
                  </w:pPr>
                  <w:bookmarkStart w:id="0" w:name="_a8e238b9_80c2_499c_b04a_eb3b4acdb269"/>
                  <w:bookmarkStart w:id="1" w:name="_0db7ddda_6b0c_42bc_a743_05d5b7e07ebc"/>
                  <w:bookmarkEnd w:id="0"/>
                </w:p>
              </w:tc>
            </w:tr>
            <w:tr w:rsidR="009950A9" w:rsidRPr="00281BFF" w14:paraId="1AC7A2C3" w14:textId="77777777" w:rsidTr="00C477BC">
              <w:tc>
                <w:tcPr>
                  <w:tcW w:w="9016" w:type="dxa"/>
                  <w:tcBorders>
                    <w:top w:val="single" w:sz="4" w:space="0" w:color="D9D9D9" w:themeColor="background1" w:themeShade="D9"/>
                    <w:left w:val="single" w:sz="4" w:space="0" w:color="D9D9D9" w:themeColor="background1" w:themeShade="D9"/>
                    <w:bottom w:val="single" w:sz="4" w:space="0" w:color="D9D9D9" w:themeColor="background1" w:themeShade="D9"/>
                    <w:right w:val="single" w:sz="4" w:space="0" w:color="D9D9D9" w:themeColor="background1" w:themeShade="D9"/>
                  </w:tcBorders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5B3330" w14:textId="77777777" w:rsidR="009950A9" w:rsidRPr="00281BFF" w:rsidRDefault="009950A9" w:rsidP="00C477BC">
                  <w:pPr>
                    <w:rPr>
                      <w:rFonts w:cstheme="minorHAnsi"/>
                      <w:color w:val="FFFFFF" w:themeColor="background1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cstheme="minorHAnsi"/>
                      <w:color w:val="FFFFFF" w:themeColor="background1"/>
                      <w:sz w:val="18"/>
                      <w:szCs w:val="18"/>
                      <w:lang w:eastAsia="en-GB"/>
                    </w:rPr>
                    <w:t>Altrad Company details:</w:t>
                  </w:r>
                </w:p>
              </w:tc>
            </w:tr>
            <w:tr w:rsidR="009950A9" w:rsidRPr="008D26EF" w14:paraId="14DBE4A2" w14:textId="77777777" w:rsidTr="00C477BC">
              <w:tc>
                <w:tcPr>
                  <w:tcW w:w="9016" w:type="dxa"/>
                  <w:tcBorders>
                    <w:top w:val="single" w:sz="4" w:space="0" w:color="D9D9D9" w:themeColor="background1" w:themeShade="D9"/>
                    <w:left w:val="single" w:sz="4" w:space="0" w:color="D9D9D9" w:themeColor="background1" w:themeShade="D9"/>
                    <w:bottom w:val="single" w:sz="4" w:space="0" w:color="D9D9D9" w:themeColor="background1" w:themeShade="D9"/>
                    <w:right w:val="single" w:sz="4" w:space="0" w:color="D9D9D9" w:themeColor="background1" w:themeShade="D9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00D190" w14:textId="77777777" w:rsidR="009950A9" w:rsidRDefault="009950A9" w:rsidP="00C477BC">
                  <w:pPr>
                    <w:keepLines/>
                    <w:spacing w:after="140"/>
                    <w:rPr>
                      <w:b w:val="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Calibri" w:hAnsi="Calibri"/>
                      <w:b w:val="0"/>
                      <w:color w:val="0F0F3F"/>
                      <w:sz w:val="18"/>
                    </w:rPr>
                    <w:t>Altrad is a global engineering and industrial services group, supporting major clients across energy, infrastructure and process industries. The UK business delivers maintenance, engineering and project services through a diverse portfolio of legal entities, generates over £1bn of turnover, and continues to grow both organically and through acquisition.</w:t>
                  </w:r>
                </w:p>
                <w:p w14:paraId="39697F67" w14:textId="3BC1E874" w:rsidR="009950A9" w:rsidRDefault="009950A9" w:rsidP="00C477BC">
                  <w:pPr>
                    <w:keepLines/>
                    <w:spacing w:after="140"/>
                    <w:rPr>
                      <w:b w:val="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Calibri" w:hAnsi="Calibri"/>
                      <w:b w:val="0"/>
                      <w:color w:val="0F0F3F"/>
                      <w:sz w:val="18"/>
                    </w:rPr>
                    <w:t>The External Reporting team is responsible for statutory and Group reporting, legal</w:t>
                  </w:r>
                  <w:r w:rsidR="00550A98">
                    <w:rPr>
                      <w:rFonts w:ascii="Calibri" w:hAnsi="Calibri"/>
                      <w:b w:val="0"/>
                      <w:color w:val="0F0F3F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b w:val="0"/>
                      <w:color w:val="0F0F3F"/>
                      <w:sz w:val="18"/>
                    </w:rPr>
                    <w:t>entity control and technical accounting across the UK. It currently consists of the External Reporting Manager and two direct reports, delivering a statutory consolidation of more than £1bn covering around 40 subsidiaries. The team is expanding as the UK business grows.</w:t>
                  </w:r>
                </w:p>
                <w:p w14:paraId="1F496BF6" w14:textId="77777777" w:rsidR="009950A9" w:rsidRDefault="009950A9" w:rsidP="00C477BC">
                  <w:pPr>
                    <w:keepLines/>
                    <w:spacing w:after="140"/>
                    <w:rPr>
                      <w:b w:val="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Calibri" w:hAnsi="Calibri"/>
                      <w:b w:val="0"/>
                      <w:color w:val="0F0F3F"/>
                      <w:sz w:val="18"/>
                    </w:rPr>
                    <w:t>This is a senior individual contributor role with broad exposure to complex technical accounting, external auditors and senior finance stakeholders, and genuine scope to help build a reporting model that scales with the business.</w:t>
                  </w:r>
                </w:p>
              </w:tc>
            </w:tr>
            <w:tr w:rsidR="009950A9" w:rsidRPr="00281BFF" w14:paraId="6A7998E5" w14:textId="77777777" w:rsidTr="00C477BC">
              <w:tc>
                <w:tcPr>
                  <w:tcW w:w="9016" w:type="dxa"/>
                  <w:tcBorders>
                    <w:top w:val="single" w:sz="4" w:space="0" w:color="D9D9D9" w:themeColor="background1" w:themeShade="D9"/>
                    <w:left w:val="single" w:sz="4" w:space="0" w:color="D9D9D9" w:themeColor="background1" w:themeShade="D9"/>
                    <w:bottom w:val="single" w:sz="4" w:space="0" w:color="D9D9D9" w:themeColor="background1" w:themeShade="D9"/>
                    <w:right w:val="single" w:sz="4" w:space="0" w:color="D9D9D9" w:themeColor="background1" w:themeShade="D9"/>
                  </w:tcBorders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8AC710B" w14:textId="77777777" w:rsidR="009950A9" w:rsidRPr="00281BFF" w:rsidRDefault="009950A9" w:rsidP="00C477BC">
                  <w:pPr>
                    <w:rPr>
                      <w:rFonts w:cstheme="minorHAnsi"/>
                      <w:b w:val="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cstheme="minorHAnsi"/>
                      <w:color w:val="FFFFFF" w:themeColor="background1"/>
                      <w:sz w:val="18"/>
                      <w:szCs w:val="18"/>
                      <w:lang w:eastAsia="en-GB"/>
                    </w:rPr>
                    <w:t>Key objectives of this role:</w:t>
                  </w:r>
                </w:p>
              </w:tc>
            </w:tr>
            <w:tr w:rsidR="009950A9" w:rsidRPr="00281BFF" w14:paraId="4830B74B" w14:textId="77777777" w:rsidTr="00C477BC">
              <w:tc>
                <w:tcPr>
                  <w:tcW w:w="9016" w:type="dxa"/>
                  <w:tcBorders>
                    <w:top w:val="single" w:sz="4" w:space="0" w:color="D9D9D9" w:themeColor="background1" w:themeShade="D9"/>
                    <w:left w:val="single" w:sz="4" w:space="0" w:color="D9D9D9" w:themeColor="background1" w:themeShade="D9"/>
                    <w:bottom w:val="single" w:sz="4" w:space="0" w:color="D9D9D9" w:themeColor="background1" w:themeShade="D9"/>
                    <w:right w:val="single" w:sz="4" w:space="0" w:color="D9D9D9" w:themeColor="background1" w:themeShade="D9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568157" w14:textId="629F9730" w:rsidR="004B79E6" w:rsidRPr="004B79E6" w:rsidRDefault="009950A9" w:rsidP="004B79E6">
                  <w:pPr>
                    <w:pStyle w:val="ListParagraph"/>
                    <w:keepLines/>
                    <w:numPr>
                      <w:ilvl w:val="0"/>
                      <w:numId w:val="47"/>
                    </w:numPr>
                    <w:spacing w:after="40"/>
                    <w:rPr>
                      <w:rFonts w:cstheme="minorHAnsi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Own the technical balance sheet — pensions, provisions, impairment, investments, joint ventures, intercompany and financing — for an allocated portfolio of UK legal entities, providing a clear monthly review and sign-off point before Group submission.</w:t>
                  </w:r>
                </w:p>
                <w:p w14:paraId="5EBF722A" w14:textId="77777777" w:rsidR="004B79E6" w:rsidRPr="004B79E6" w:rsidRDefault="009950A9" w:rsidP="004B79E6">
                  <w:pPr>
                    <w:pStyle w:val="ListParagraph"/>
                    <w:keepLines/>
                    <w:numPr>
                      <w:ilvl w:val="0"/>
                      <w:numId w:val="47"/>
                    </w:numPr>
                    <w:spacing w:after="40"/>
                    <w:rPr>
                      <w:rFonts w:cstheme="minorHAnsi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Deliver high quality statutory accounts and audit support for those entities, identifying and resolving technical issues early.</w:t>
                  </w:r>
                </w:p>
                <w:p w14:paraId="718B9F21" w14:textId="77777777" w:rsidR="004B79E6" w:rsidRPr="004B79E6" w:rsidRDefault="009950A9" w:rsidP="004B79E6">
                  <w:pPr>
                    <w:pStyle w:val="ListParagraph"/>
                    <w:keepLines/>
                    <w:numPr>
                      <w:ilvl w:val="0"/>
                      <w:numId w:val="47"/>
                    </w:numPr>
                    <w:spacing w:after="40"/>
                    <w:rPr>
                      <w:rFonts w:cstheme="minorHAnsi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Own defined workstreams within the UK Services and Cape plc consolidations, including intercompany positions, consolidation journals and analytical review.</w:t>
                  </w:r>
                </w:p>
                <w:p w14:paraId="1464A815" w14:textId="77777777" w:rsidR="004B79E6" w:rsidRPr="004B79E6" w:rsidRDefault="009950A9" w:rsidP="004B79E6">
                  <w:pPr>
                    <w:pStyle w:val="ListParagraph"/>
                    <w:keepLines/>
                    <w:numPr>
                      <w:ilvl w:val="0"/>
                      <w:numId w:val="47"/>
                    </w:numPr>
                    <w:spacing w:after="40"/>
                    <w:rPr>
                      <w:rFonts w:cstheme="minorHAnsi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Act as deputy to the External Reporting Manager across defined statutory reporting, Group reporting, audit and technical accounting workstreams.</w:t>
                  </w:r>
                </w:p>
                <w:p w14:paraId="7490E11A" w14:textId="77777777" w:rsidR="004B79E6" w:rsidRPr="004B79E6" w:rsidRDefault="009950A9" w:rsidP="004B79E6">
                  <w:pPr>
                    <w:pStyle w:val="ListParagraph"/>
                    <w:keepLines/>
                    <w:numPr>
                      <w:ilvl w:val="0"/>
                      <w:numId w:val="47"/>
                    </w:numPr>
                    <w:spacing w:after="40"/>
                    <w:rPr>
                      <w:rFonts w:cstheme="minorHAnsi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Lead external reporting for the integration of newly acquired or changing businesses, establishing reporting ownership, process, controls and timetable.</w:t>
                  </w:r>
                </w:p>
                <w:p w14:paraId="75189A7A" w14:textId="77777777" w:rsidR="004B79E6" w:rsidRPr="004B79E6" w:rsidRDefault="009950A9" w:rsidP="004B79E6">
                  <w:pPr>
                    <w:pStyle w:val="ListParagraph"/>
                    <w:keepLines/>
                    <w:numPr>
                      <w:ilvl w:val="0"/>
                      <w:numId w:val="47"/>
                    </w:numPr>
                    <w:spacing w:after="40"/>
                    <w:rPr>
                      <w:rFonts w:cstheme="minorHAnsi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Partner with Management Accounts so that operating performance remains owned close to the business while technical and statutory positions receive specialist oversight.</w:t>
                  </w:r>
                </w:p>
                <w:p w14:paraId="4BEB3A39" w14:textId="77777777" w:rsidR="004B79E6" w:rsidRPr="004B79E6" w:rsidRDefault="009950A9" w:rsidP="004B79E6">
                  <w:pPr>
                    <w:pStyle w:val="ListParagraph"/>
                    <w:keepLines/>
                    <w:numPr>
                      <w:ilvl w:val="0"/>
                      <w:numId w:val="47"/>
                    </w:numPr>
                    <w:spacing w:after="40"/>
                    <w:rPr>
                      <w:rFonts w:cstheme="minorHAnsi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Improve the quality, consistency and efficiency of reporting through standardisation, automation and better use of data and systems.</w:t>
                  </w:r>
                </w:p>
              </w:tc>
            </w:tr>
            <w:tr w:rsidR="009950A9" w:rsidRPr="00281BFF" w14:paraId="3621D5D1" w14:textId="77777777" w:rsidTr="00C477BC">
              <w:tc>
                <w:tcPr>
                  <w:tcW w:w="9016" w:type="dxa"/>
                  <w:tcBorders>
                    <w:top w:val="single" w:sz="4" w:space="0" w:color="D9D9D9" w:themeColor="background1" w:themeShade="D9"/>
                    <w:left w:val="single" w:sz="4" w:space="0" w:color="D9D9D9" w:themeColor="background1" w:themeShade="D9"/>
                    <w:bottom w:val="single" w:sz="4" w:space="0" w:color="D9D9D9" w:themeColor="background1" w:themeShade="D9"/>
                    <w:right w:val="single" w:sz="4" w:space="0" w:color="D9D9D9" w:themeColor="background1" w:themeShade="D9"/>
                  </w:tcBorders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F49C6E" w14:textId="77777777" w:rsidR="009950A9" w:rsidRPr="00281BFF" w:rsidRDefault="009950A9" w:rsidP="00C477BC">
                  <w:pPr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color w:val="FFFFFF" w:themeColor="background1"/>
                      <w:sz w:val="18"/>
                      <w:szCs w:val="18"/>
                      <w:lang w:eastAsia="en-GB"/>
                    </w:rPr>
                    <w:t>Main activities:</w:t>
                  </w:r>
                </w:p>
              </w:tc>
            </w:tr>
            <w:tr w:rsidR="009950A9" w:rsidRPr="00281BFF" w14:paraId="6F5A8202" w14:textId="77777777" w:rsidTr="00C477BC">
              <w:tc>
                <w:tcPr>
                  <w:tcW w:w="9016" w:type="dxa"/>
                  <w:tcBorders>
                    <w:top w:val="single" w:sz="4" w:space="0" w:color="D9D9D9" w:themeColor="background1" w:themeShade="D9"/>
                    <w:left w:val="single" w:sz="4" w:space="0" w:color="D9D9D9" w:themeColor="background1" w:themeShade="D9"/>
                    <w:bottom w:val="single" w:sz="4" w:space="0" w:color="D9D9D9" w:themeColor="background1" w:themeShade="D9"/>
                    <w:right w:val="single" w:sz="4" w:space="0" w:color="D9D9D9" w:themeColor="background1" w:themeShade="D9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8B1A6" w14:textId="77777777" w:rsidR="009950A9" w:rsidRPr="009950A9" w:rsidRDefault="009950A9" w:rsidP="009950A9">
                  <w:pPr>
                    <w:pStyle w:val="ListParagraph"/>
                    <w:keepNext/>
                    <w:keepLines/>
                    <w:numPr>
                      <w:ilvl w:val="0"/>
                      <w:numId w:val="46"/>
                    </w:numPr>
                    <w:spacing w:before="60"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b/>
                      <w:bCs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b/>
                      <w:color w:val="0F0F3F"/>
                      <w:sz w:val="18"/>
                    </w:rPr>
                    <w:t>Legal-entity reporting and control</w:t>
                  </w:r>
                </w:p>
                <w:p w14:paraId="43CF9C6B" w14:textId="2DB35B05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Own and review the technical balance sheet and non-operating items for allocated entities, including pensions, provisions, impairment, investments, joint ventures, intercompany and financing.</w:t>
                  </w:r>
                </w:p>
                <w:p w14:paraId="1A2578F2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Lead the monthly legal-entity review and certification process, ensuring reconciliations, supporting schedules, movements and accounting judgements are complete, clear and audit ready.</w:t>
                  </w:r>
                </w:p>
                <w:p w14:paraId="2A9DA665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Review journals, account mappings and reconciliations, challenge unusual or unsupported positions and follow agreed actions through to closure.</w:t>
                  </w:r>
                </w:p>
                <w:p w14:paraId="7D05394B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Work with Management Accounts, Tax, Treasury and entity finance teams to resolve issues ahead of half-year and year-end submissions.</w:t>
                  </w:r>
                </w:p>
                <w:p w14:paraId="4C73F2D3" w14:textId="77777777" w:rsidR="009950A9" w:rsidRPr="009950A9" w:rsidRDefault="009950A9" w:rsidP="009950A9">
                  <w:pPr>
                    <w:pStyle w:val="ListParagraph"/>
                    <w:keepNext/>
                    <w:keepLines/>
                    <w:numPr>
                      <w:ilvl w:val="0"/>
                      <w:numId w:val="46"/>
                    </w:numPr>
                    <w:spacing w:before="60"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b/>
                      <w:bCs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b/>
                      <w:color w:val="0F0F3F"/>
                      <w:sz w:val="18"/>
                    </w:rPr>
                    <w:lastRenderedPageBreak/>
                    <w:t>Statutory reporting and audit</w:t>
                  </w:r>
                </w:p>
                <w:p w14:paraId="173756CE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Prepare and review statutory accounts and supporting schedules for allocated entities in line with Group policy, IFRS and the relevant UK reporting framework.</w:t>
                  </w:r>
                </w:p>
                <w:p w14:paraId="4109E19F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Manage day-to-day audit delivery for the allocated portfolio, coordinating evidence and responses and maintaining clear ownership of issues, actions and deadlines.</w:t>
                  </w:r>
                </w:p>
                <w:p w14:paraId="332160DC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Prepare technical accounting papers and contribute to key half-year and year-end judgements, disclosures and analytical review.</w:t>
                  </w:r>
                </w:p>
                <w:p w14:paraId="228DB86E" w14:textId="77777777" w:rsidR="009950A9" w:rsidRPr="009950A9" w:rsidRDefault="009950A9" w:rsidP="009950A9">
                  <w:pPr>
                    <w:pStyle w:val="ListParagraph"/>
                    <w:keepNext/>
                    <w:keepLines/>
                    <w:numPr>
                      <w:ilvl w:val="0"/>
                      <w:numId w:val="46"/>
                    </w:numPr>
                    <w:spacing w:before="60"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b/>
                      <w:bCs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b/>
                      <w:color w:val="0F0F3F"/>
                      <w:sz w:val="18"/>
                    </w:rPr>
                    <w:t>Group reporting and consolidation</w:t>
                  </w:r>
                </w:p>
                <w:p w14:paraId="31E92C01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Own assigned half-year and year-end reporting submissions to Group, ensuring they are complete, accurate and delivered to timetable.</w:t>
                  </w:r>
                </w:p>
                <w:p w14:paraId="5949E63F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Lead assigned workstreams within the UK Services and Cape plc consolidation processes, including intercompany positions, consolidation journals, account mappings and analytical review.</w:t>
                  </w:r>
                </w:p>
                <w:p w14:paraId="0312EE76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Investigate unusual movements and flows, and ensure conclusions are clearly supported.</w:t>
                  </w:r>
                </w:p>
                <w:p w14:paraId="0852C3BE" w14:textId="77777777" w:rsidR="009950A9" w:rsidRPr="009950A9" w:rsidRDefault="009950A9" w:rsidP="009950A9">
                  <w:pPr>
                    <w:pStyle w:val="ListParagraph"/>
                    <w:keepNext/>
                    <w:keepLines/>
                    <w:numPr>
                      <w:ilvl w:val="0"/>
                      <w:numId w:val="46"/>
                    </w:numPr>
                    <w:spacing w:before="60"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b/>
                      <w:bCs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b/>
                      <w:color w:val="0F0F3F"/>
                      <w:sz w:val="18"/>
                    </w:rPr>
                    <w:t>Integration, systems and continuous improvement</w:t>
                  </w:r>
                </w:p>
                <w:p w14:paraId="6A2BFD35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 xml:space="preserve">Lead the integration of newly acquired or changing businesses into </w:t>
                  </w:r>
                  <w:proofErr w:type="spellStart"/>
                  <w:r>
                    <w:rPr>
                      <w:color w:val="0F0F3F"/>
                      <w:sz w:val="18"/>
                    </w:rPr>
                    <w:t>Altrad’s</w:t>
                  </w:r>
                  <w:proofErr w:type="spellEnd"/>
                  <w:r>
                    <w:rPr>
                      <w:color w:val="0F0F3F"/>
                      <w:sz w:val="18"/>
                    </w:rPr>
                    <w:t xml:space="preserve"> external reporting framework, establishing clear ownership, consistent processes and robust controls.</w:t>
                  </w:r>
                </w:p>
                <w:p w14:paraId="349DB908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Standardise workpapers, schedules and review evidence, and identify practical opportunities to automate or simplify recurring reporting.</w:t>
                  </w:r>
                </w:p>
                <w:p w14:paraId="21D029D8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Use ERP, consolidation and reporting tools effectively, maintaining the quality and traceability of data from source systems through to external reporting outputs.</w:t>
                  </w:r>
                </w:p>
                <w:p w14:paraId="49E21750" w14:textId="77777777" w:rsidR="009950A9" w:rsidRPr="009950A9" w:rsidRDefault="009950A9" w:rsidP="009950A9">
                  <w:pPr>
                    <w:pStyle w:val="ListParagraph"/>
                    <w:keepNext/>
                    <w:keepLines/>
                    <w:numPr>
                      <w:ilvl w:val="0"/>
                      <w:numId w:val="46"/>
                    </w:numPr>
                    <w:spacing w:before="60"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b/>
                      <w:bCs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b/>
                      <w:color w:val="0F0F3F"/>
                      <w:sz w:val="18"/>
                    </w:rPr>
                    <w:t>Technical development and wider support</w:t>
                  </w:r>
                </w:p>
                <w:p w14:paraId="01A53BB9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Maintain up-to-date knowledge of IFRS, FRS 101 and FRS 102 developments and translate relevant changes into practical actions for the UK business.</w:t>
                  </w:r>
                </w:p>
                <w:p w14:paraId="3AF0CBA6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Provide practical guidance to colleagues and stakeholders on technical accounting and legal-entity reporting requirements.</w:t>
                  </w:r>
                </w:p>
                <w:p w14:paraId="42C175EC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Support the External Reporting Manager and Head of Finance with ad hoc technical, reporting and finance transformation projects.</w:t>
                  </w:r>
                </w:p>
              </w:tc>
            </w:tr>
            <w:tr w:rsidR="009950A9" w:rsidRPr="00281BFF" w14:paraId="26236C8A" w14:textId="77777777" w:rsidTr="00C477BC">
              <w:tc>
                <w:tcPr>
                  <w:tcW w:w="9016" w:type="dxa"/>
                  <w:tcBorders>
                    <w:top w:val="single" w:sz="4" w:space="0" w:color="D9D9D9" w:themeColor="background1" w:themeShade="D9"/>
                    <w:left w:val="single" w:sz="4" w:space="0" w:color="D9D9D9" w:themeColor="background1" w:themeShade="D9"/>
                    <w:bottom w:val="single" w:sz="4" w:space="0" w:color="D9D9D9" w:themeColor="background1" w:themeShade="D9"/>
                    <w:right w:val="single" w:sz="4" w:space="0" w:color="D9D9D9" w:themeColor="background1" w:themeShade="D9"/>
                  </w:tcBorders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3A8594" w14:textId="77777777" w:rsidR="009950A9" w:rsidRPr="00281BFF" w:rsidRDefault="009950A9" w:rsidP="00C477BC">
                  <w:pPr>
                    <w:rPr>
                      <w:rFonts w:cstheme="minorHAnsi"/>
                      <w:b w:val="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cstheme="minorHAnsi"/>
                      <w:color w:val="FFFFFF" w:themeColor="background1"/>
                      <w:sz w:val="18"/>
                      <w:szCs w:val="18"/>
                      <w:lang w:eastAsia="en-GB"/>
                    </w:rPr>
                    <w:lastRenderedPageBreak/>
                    <w:t>Scope and scale of the role</w:t>
                  </w:r>
                </w:p>
              </w:tc>
            </w:tr>
            <w:tr w:rsidR="009950A9" w:rsidRPr="00281BFF" w14:paraId="4B221A99" w14:textId="77777777" w:rsidTr="00C477BC">
              <w:tc>
                <w:tcPr>
                  <w:tcW w:w="9016" w:type="dxa"/>
                  <w:tcBorders>
                    <w:top w:val="single" w:sz="4" w:space="0" w:color="D9D9D9" w:themeColor="background1" w:themeShade="D9"/>
                    <w:left w:val="single" w:sz="4" w:space="0" w:color="D9D9D9" w:themeColor="background1" w:themeShade="D9"/>
                    <w:bottom w:val="single" w:sz="4" w:space="0" w:color="D9D9D9" w:themeColor="background1" w:themeShade="D9"/>
                    <w:right w:val="single" w:sz="4" w:space="0" w:color="D9D9D9" w:themeColor="background1" w:themeShade="D9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2D5C324" w14:textId="77777777" w:rsidR="004B79E6" w:rsidRPr="004B79E6" w:rsidRDefault="009950A9" w:rsidP="004B79E6">
                  <w:pPr>
                    <w:pStyle w:val="ListParagraph"/>
                    <w:keepLines/>
                    <w:numPr>
                      <w:ilvl w:val="0"/>
                      <w:numId w:val="47"/>
                    </w:numPr>
                    <w:spacing w:after="40"/>
                    <w:rPr>
                      <w:rFonts w:cstheme="minorHAnsi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UK turnover of more than £1bn, growing organically and through acquisition.</w:t>
                  </w:r>
                </w:p>
                <w:p w14:paraId="2DABFED7" w14:textId="77777777" w:rsidR="004B79E6" w:rsidRPr="004B79E6" w:rsidRDefault="009950A9" w:rsidP="004B79E6">
                  <w:pPr>
                    <w:pStyle w:val="ListParagraph"/>
                    <w:keepLines/>
                    <w:numPr>
                      <w:ilvl w:val="0"/>
                      <w:numId w:val="47"/>
                    </w:numPr>
                    <w:spacing w:after="40"/>
                    <w:rPr>
                      <w:rFonts w:cstheme="minorHAnsi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A statutory consolidation of over £1bn covering approximately 40 subsidiaries, of which three are trading entities.</w:t>
                  </w:r>
                </w:p>
                <w:p w14:paraId="3A5C51E0" w14:textId="77777777" w:rsidR="004B79E6" w:rsidRPr="004B79E6" w:rsidRDefault="009950A9" w:rsidP="004B79E6">
                  <w:pPr>
                    <w:pStyle w:val="ListParagraph"/>
                    <w:keepLines/>
                    <w:numPr>
                      <w:ilvl w:val="0"/>
                      <w:numId w:val="47"/>
                    </w:numPr>
                    <w:spacing w:after="40"/>
                    <w:rPr>
                      <w:rFonts w:cstheme="minorHAnsi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An External Reporting team of three (the External Reporting Manager plus two direct reports), expanding as the UK portfolio grows.</w:t>
                  </w:r>
                </w:p>
                <w:p w14:paraId="02BDDB11" w14:textId="77777777" w:rsidR="004B79E6" w:rsidRPr="004B79E6" w:rsidRDefault="009950A9" w:rsidP="004B79E6">
                  <w:pPr>
                    <w:pStyle w:val="ListParagraph"/>
                    <w:keepLines/>
                    <w:numPr>
                      <w:ilvl w:val="0"/>
                      <w:numId w:val="47"/>
                    </w:numPr>
                    <w:spacing w:after="40"/>
                    <w:rPr>
                      <w:rFonts w:cstheme="minorHAnsi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No direct reports. The role influences through expertise rather than line authority, working across Group Finance, entity finance teams and external auditors, and may lead cross-functional workstreams.</w:t>
                  </w:r>
                </w:p>
                <w:p w14:paraId="4889C2BD" w14:textId="77777777" w:rsidR="004B79E6" w:rsidRPr="004B79E6" w:rsidRDefault="009950A9" w:rsidP="004B79E6">
                  <w:pPr>
                    <w:pStyle w:val="ListParagraph"/>
                    <w:keepLines/>
                    <w:numPr>
                      <w:ilvl w:val="0"/>
                      <w:numId w:val="47"/>
                    </w:numPr>
                    <w:spacing w:after="40"/>
                    <w:rPr>
                      <w:rFonts w:cstheme="minorHAnsi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Accountable for the quality, timeliness and audit readiness of technical and external reporting across an allocated legal-entity portfolio.</w:t>
                  </w:r>
                </w:p>
                <w:p w14:paraId="6800A2E7" w14:textId="77777777" w:rsidR="004B79E6" w:rsidRPr="004B79E6" w:rsidRDefault="009950A9" w:rsidP="004B79E6">
                  <w:pPr>
                    <w:pStyle w:val="ListParagraph"/>
                    <w:keepLines/>
                    <w:numPr>
                      <w:ilvl w:val="0"/>
                      <w:numId w:val="47"/>
                    </w:numPr>
                    <w:spacing w:after="40"/>
                    <w:rPr>
                      <w:rFonts w:cstheme="minorHAnsi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Handles sensitive corporate information and applies professional judgement to complex or material accounting matters.</w:t>
                  </w:r>
                </w:p>
              </w:tc>
            </w:tr>
            <w:tr w:rsidR="009950A9" w:rsidRPr="00281BFF" w14:paraId="55C18B60" w14:textId="77777777" w:rsidTr="00C477BC">
              <w:tc>
                <w:tcPr>
                  <w:tcW w:w="9016" w:type="dxa"/>
                  <w:tcBorders>
                    <w:top w:val="single" w:sz="4" w:space="0" w:color="D9D9D9" w:themeColor="background1" w:themeShade="D9"/>
                    <w:left w:val="single" w:sz="4" w:space="0" w:color="D9D9D9" w:themeColor="background1" w:themeShade="D9"/>
                    <w:bottom w:val="single" w:sz="4" w:space="0" w:color="D9D9D9" w:themeColor="background1" w:themeShade="D9"/>
                    <w:right w:val="single" w:sz="4" w:space="0" w:color="D9D9D9" w:themeColor="background1" w:themeShade="D9"/>
                  </w:tcBorders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6632CFB" w14:textId="77777777" w:rsidR="009950A9" w:rsidRPr="00281BFF" w:rsidRDefault="009950A9" w:rsidP="00C477BC">
                  <w:pPr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color w:val="FFFFFF" w:themeColor="background1"/>
                      <w:sz w:val="18"/>
                      <w:szCs w:val="18"/>
                      <w:lang w:eastAsia="en-GB"/>
                    </w:rPr>
                    <w:t>Qualifications and experience</w:t>
                  </w:r>
                </w:p>
              </w:tc>
            </w:tr>
            <w:tr w:rsidR="009950A9" w:rsidRPr="00281BFF" w14:paraId="523444AC" w14:textId="77777777" w:rsidTr="00C477BC">
              <w:trPr>
                <w:trHeight w:val="833"/>
              </w:trPr>
              <w:tc>
                <w:tcPr>
                  <w:tcW w:w="9016" w:type="dxa"/>
                  <w:tcBorders>
                    <w:top w:val="single" w:sz="4" w:space="0" w:color="D9D9D9" w:themeColor="background1" w:themeShade="D9"/>
                    <w:left w:val="single" w:sz="4" w:space="0" w:color="D9D9D9" w:themeColor="background1" w:themeShade="D9"/>
                    <w:bottom w:val="single" w:sz="4" w:space="0" w:color="D9D9D9" w:themeColor="background1" w:themeShade="D9"/>
                    <w:right w:val="single" w:sz="4" w:space="0" w:color="D9D9D9" w:themeColor="background1" w:themeShade="D9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E9CBF8" w14:textId="77777777" w:rsidR="009950A9" w:rsidRPr="00281BFF" w:rsidRDefault="009950A9" w:rsidP="00C477BC">
                  <w:pPr>
                    <w:keepNext/>
                    <w:keepLines/>
                    <w:spacing w:before="120" w:after="40"/>
                    <w:rPr>
                      <w:rFonts w:cstheme="minorHAnsi"/>
                      <w:sz w:val="18"/>
                      <w:szCs w:val="18"/>
                      <w:u w:val="single"/>
                      <w:lang w:eastAsia="en-GB"/>
                    </w:rPr>
                  </w:pPr>
                  <w:r>
                    <w:rPr>
                      <w:rFonts w:ascii="Calibri" w:hAnsi="Calibri"/>
                      <w:color w:val="0F0F3F"/>
                      <w:sz w:val="18"/>
                      <w:u w:val="single"/>
                    </w:rPr>
                    <w:t>Essential</w:t>
                  </w:r>
                </w:p>
                <w:p w14:paraId="7B766B61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Qualified accountant (ACA, ACCA or equivalent).</w:t>
                  </w:r>
                </w:p>
                <w:p w14:paraId="090264EC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Strong statutory accounts and external reporting experience, gained either in practice audit or within a multi-entity group.</w:t>
                  </w:r>
                </w:p>
                <w:p w14:paraId="3BE66ECD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Up-to-date knowledge of IFRS and UK reporting frameworks, including FRS 101 and FRS 102, with evidence of practical application.</w:t>
                  </w:r>
                </w:p>
                <w:p w14:paraId="123589BD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 xml:space="preserve">Ability to analyse complex transactions, journals and balance-sheet movements and reach a </w:t>
                  </w:r>
                  <w:proofErr w:type="spellStart"/>
                  <w:r>
                    <w:rPr>
                      <w:color w:val="0F0F3F"/>
                      <w:sz w:val="18"/>
                    </w:rPr>
                    <w:t>well supported</w:t>
                  </w:r>
                  <w:proofErr w:type="spellEnd"/>
                  <w:r>
                    <w:rPr>
                      <w:color w:val="0F0F3F"/>
                      <w:sz w:val="18"/>
                    </w:rPr>
                    <w:t xml:space="preserve"> conclusion.</w:t>
                  </w:r>
                </w:p>
                <w:p w14:paraId="2AF1D447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Strong Excel and analytical skills, with the ability to work confidently across large or complex data sets and turn findings into clear actions.</w:t>
                  </w:r>
                </w:p>
                <w:p w14:paraId="1A697F9D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lastRenderedPageBreak/>
                    <w:t>Clear written and verbal communication, including the ability to explain technical matters to non-specialist stakeholders.</w:t>
                  </w:r>
                </w:p>
                <w:p w14:paraId="5C515904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Takes personal ownership, works independently and prioritises effectively across competing reporting deadlines.</w:t>
                  </w:r>
                </w:p>
                <w:p w14:paraId="37D0C406" w14:textId="77777777" w:rsidR="009950A9" w:rsidRPr="00281BFF" w:rsidRDefault="009950A9" w:rsidP="00C477BC">
                  <w:pPr>
                    <w:keepNext/>
                    <w:keepLines/>
                    <w:spacing w:before="120" w:after="40"/>
                    <w:rPr>
                      <w:rFonts w:cstheme="minorHAnsi"/>
                      <w:sz w:val="18"/>
                      <w:szCs w:val="18"/>
                      <w:u w:val="single"/>
                      <w:lang w:eastAsia="en-GB"/>
                    </w:rPr>
                  </w:pPr>
                  <w:r>
                    <w:rPr>
                      <w:rFonts w:ascii="Calibri" w:hAnsi="Calibri"/>
                      <w:color w:val="0F0F3F"/>
                      <w:sz w:val="18"/>
                      <w:u w:val="single"/>
                    </w:rPr>
                    <w:t>Desirable</w:t>
                  </w:r>
                </w:p>
                <w:p w14:paraId="5EFCDE4A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Group reporting or consolidation experience in a multi-entity environment, ideally including multi-currency reporting.</w:t>
                  </w:r>
                </w:p>
                <w:p w14:paraId="25E89AFF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Understanding of general ledger and sub-ledger transactions, period-end close, balance-sheet reconciliations and supporting financial controls.</w:t>
                  </w:r>
                </w:p>
                <w:p w14:paraId="678EE181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Experience supporting integration, acquisition or reporting-change activity.</w:t>
                  </w:r>
                </w:p>
                <w:p w14:paraId="6F6E0CE5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Experience using ERP, consolidation or reporting systems; familiarity with Business Central, Power BI or similar tools.</w:t>
                  </w:r>
                </w:p>
                <w:p w14:paraId="6BF190C5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Experience leading cross-functional reporting workstreams or coaching colleagues.</w:t>
                  </w:r>
                </w:p>
                <w:p w14:paraId="4DE51FE3" w14:textId="77777777" w:rsidR="009950A9" w:rsidRPr="00281BFF" w:rsidRDefault="009950A9" w:rsidP="00C477BC">
                  <w:pPr>
                    <w:keepNext/>
                    <w:keepLines/>
                    <w:spacing w:before="120" w:after="40"/>
                    <w:rPr>
                      <w:rFonts w:cstheme="minorHAnsi"/>
                      <w:sz w:val="18"/>
                      <w:szCs w:val="18"/>
                      <w:u w:val="single"/>
                      <w:lang w:eastAsia="en-GB"/>
                    </w:rPr>
                  </w:pPr>
                  <w:r>
                    <w:rPr>
                      <w:rFonts w:ascii="Calibri" w:hAnsi="Calibri"/>
                      <w:color w:val="0F0F3F"/>
                      <w:sz w:val="18"/>
                      <w:u w:val="single"/>
                    </w:rPr>
                    <w:t xml:space="preserve">Role </w:t>
                  </w:r>
                  <w:proofErr w:type="spellStart"/>
                  <w:r>
                    <w:rPr>
                      <w:rFonts w:ascii="Calibri" w:hAnsi="Calibri"/>
                      <w:color w:val="0F0F3F"/>
                      <w:sz w:val="18"/>
                      <w:u w:val="single"/>
                    </w:rPr>
                    <w:t>behaviours</w:t>
                  </w:r>
                  <w:proofErr w:type="spellEnd"/>
                </w:p>
                <w:p w14:paraId="6A0522E0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Applies sound judgement, maintains professional scepticism and escalates issues early with a proposed way forward.</w:t>
                  </w:r>
                </w:p>
                <w:p w14:paraId="6217DC4A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Builds constructive relationships and is confident challenging colleagues in a clear, proportionate and solutions-focused way.</w:t>
                  </w:r>
                </w:p>
                <w:p w14:paraId="486AF8D2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Communicates complex information simply and adapts the level of detail to the audience.</w:t>
                  </w:r>
                </w:p>
                <w:p w14:paraId="4AD86662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Is comfortable working across an evolving portfolio and can bring structure to new reporting requirements.</w:t>
                  </w:r>
                </w:p>
                <w:p w14:paraId="6ADC8C20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Looks for practical ways to strengthen control, standardise activity and improve the use of data and systems.</w:t>
                  </w:r>
                </w:p>
              </w:tc>
            </w:tr>
            <w:tr w:rsidR="009950A9" w:rsidRPr="00281BFF" w14:paraId="141E434C" w14:textId="77777777" w:rsidTr="00C477BC">
              <w:tc>
                <w:tcPr>
                  <w:tcW w:w="9016" w:type="dxa"/>
                  <w:tcBorders>
                    <w:top w:val="single" w:sz="4" w:space="0" w:color="D9D9D9" w:themeColor="background1" w:themeShade="D9"/>
                    <w:left w:val="single" w:sz="4" w:space="0" w:color="D9D9D9" w:themeColor="background1" w:themeShade="D9"/>
                    <w:bottom w:val="single" w:sz="4" w:space="0" w:color="D9D9D9" w:themeColor="background1" w:themeShade="D9"/>
                    <w:right w:val="single" w:sz="4" w:space="0" w:color="D9D9D9" w:themeColor="background1" w:themeShade="D9"/>
                  </w:tcBorders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A3B6854" w14:textId="77777777" w:rsidR="009950A9" w:rsidRPr="00281BFF" w:rsidRDefault="009950A9" w:rsidP="00C477BC">
                  <w:pPr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color w:val="FFFFFF" w:themeColor="background1"/>
                      <w:sz w:val="18"/>
                      <w:szCs w:val="18"/>
                      <w:lang w:eastAsia="en-GB"/>
                    </w:rPr>
                    <w:lastRenderedPageBreak/>
                    <w:t>Key relationships</w:t>
                  </w:r>
                </w:p>
              </w:tc>
            </w:tr>
            <w:tr w:rsidR="009950A9" w:rsidRPr="00281BFF" w14:paraId="28375F5D" w14:textId="77777777" w:rsidTr="00C477BC">
              <w:tc>
                <w:tcPr>
                  <w:tcW w:w="9016" w:type="dxa"/>
                  <w:tcBorders>
                    <w:top w:val="single" w:sz="4" w:space="0" w:color="D9D9D9" w:themeColor="background1" w:themeShade="D9"/>
                    <w:left w:val="single" w:sz="4" w:space="0" w:color="D9D9D9" w:themeColor="background1" w:themeShade="D9"/>
                    <w:bottom w:val="single" w:sz="4" w:space="0" w:color="D9D9D9" w:themeColor="background1" w:themeShade="D9"/>
                    <w:right w:val="single" w:sz="4" w:space="0" w:color="D9D9D9" w:themeColor="background1" w:themeShade="D9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9F88F41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External Reporting team – daily</w:t>
                  </w:r>
                </w:p>
                <w:p w14:paraId="3F9C6C2E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Management Accounts teams and Finance Business Partners – frequent</w:t>
                  </w:r>
                </w:p>
                <w:p w14:paraId="6EEF0A0F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Head of Finance, Corporate Services – frequent</w:t>
                  </w:r>
                </w:p>
                <w:p w14:paraId="6361CA1F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Tax and Treasury – frequent</w:t>
                  </w:r>
                </w:p>
                <w:p w14:paraId="3993FE06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Group Finance – frequent</w:t>
                  </w:r>
                </w:p>
                <w:p w14:paraId="7D850232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External auditors – frequent</w:t>
                  </w:r>
                </w:p>
                <w:p w14:paraId="72B22615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Entity and regional finance teams – often</w:t>
                  </w:r>
                </w:p>
                <w:p w14:paraId="376BDF74" w14:textId="77777777" w:rsidR="009950A9" w:rsidRPr="009950A9" w:rsidRDefault="009950A9" w:rsidP="009950A9">
                  <w:pPr>
                    <w:pStyle w:val="ListParagraph"/>
                    <w:keepLines/>
                    <w:numPr>
                      <w:ilvl w:val="1"/>
                      <w:numId w:val="46"/>
                    </w:numPr>
                    <w:spacing w:after="20" w:line="259" w:lineRule="auto"/>
                    <w:contextualSpacing/>
                    <w:rPr>
                      <w:rFonts w:asciiTheme="minorHAnsi" w:eastAsiaTheme="minorEastAsia" w:hAnsiTheme="minorHAnsi" w:cstheme="minorBidi"/>
                      <w:color w:val="0F0F3F" w:themeColor="text1"/>
                      <w:sz w:val="18"/>
                      <w:szCs w:val="18"/>
                      <w:lang w:eastAsia="en-GB"/>
                    </w:rPr>
                  </w:pPr>
                  <w:r>
                    <w:rPr>
                      <w:color w:val="0F0F3F"/>
                      <w:sz w:val="18"/>
                    </w:rPr>
                    <w:t>UK Chief Financial Officer and senior finance leadership – ad hoc</w:t>
                  </w:r>
                </w:p>
              </w:tc>
            </w:tr>
            <w:bookmarkEnd w:id="1"/>
            <w:tr w:rsidR="009950A9" w:rsidRPr="00281BFF" w14:paraId="481CE402" w14:textId="77777777" w:rsidTr="00C477BC">
              <w:tc>
                <w:tcPr>
                  <w:tcW w:w="9016" w:type="dxa"/>
                  <w:tcBorders>
                    <w:top w:val="single" w:sz="4" w:space="0" w:color="D9D9D9" w:themeColor="background1" w:themeShade="D9"/>
                    <w:left w:val="single" w:sz="4" w:space="0" w:color="D9D9D9" w:themeColor="background1" w:themeShade="D9"/>
                    <w:bottom w:val="single" w:sz="4" w:space="0" w:color="D9D9D9" w:themeColor="background1" w:themeShade="D9"/>
                    <w:right w:val="single" w:sz="4" w:space="0" w:color="D9D9D9" w:themeColor="background1" w:themeShade="D9"/>
                  </w:tcBorders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2DECAF4" w14:textId="77777777" w:rsidR="009950A9" w:rsidRPr="00281BFF" w:rsidRDefault="009950A9" w:rsidP="00C477BC">
                  <w:pPr>
                    <w:rPr>
                      <w:rFonts w:cstheme="minorHAnsi"/>
                      <w:color w:val="FFFFFF" w:themeColor="background1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cstheme="minorHAnsi"/>
                      <w:color w:val="FFFFFF" w:themeColor="background1"/>
                      <w:sz w:val="18"/>
                      <w:szCs w:val="18"/>
                      <w:lang w:eastAsia="en-GB"/>
                    </w:rPr>
                    <w:t>Altrad Values:</w:t>
                  </w:r>
                </w:p>
              </w:tc>
            </w:tr>
            <w:tr w:rsidR="009950A9" w:rsidRPr="00281BFF" w14:paraId="1633B4D1" w14:textId="77777777" w:rsidTr="00C477BC">
              <w:tc>
                <w:tcPr>
                  <w:tcW w:w="9016" w:type="dxa"/>
                  <w:tcBorders>
                    <w:top w:val="single" w:sz="4" w:space="0" w:color="D9D9D9" w:themeColor="background1" w:themeShade="D9"/>
                    <w:left w:val="single" w:sz="4" w:space="0" w:color="D9D9D9" w:themeColor="background1" w:themeShade="D9"/>
                    <w:bottom w:val="single" w:sz="4" w:space="0" w:color="D9D9D9" w:themeColor="background1" w:themeShade="D9"/>
                    <w:right w:val="single" w:sz="4" w:space="0" w:color="D9D9D9" w:themeColor="background1" w:themeShade="D9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8ACA1D" w14:textId="77777777" w:rsidR="009950A9" w:rsidRPr="007446A0" w:rsidRDefault="009950A9" w:rsidP="00C477BC">
                  <w:pPr>
                    <w:spacing w:after="100"/>
                    <w:rPr>
                      <w:b w:val="0"/>
                      <w:sz w:val="18"/>
                      <w:szCs w:val="18"/>
                      <w:lang w:val="en-GB" w:eastAsia="en-GB"/>
                    </w:rPr>
                  </w:pPr>
                  <w:r>
                    <w:rPr>
                      <w:rFonts w:ascii="Calibri" w:hAnsi="Calibri"/>
                      <w:color w:val="0F0F3F"/>
                      <w:sz w:val="18"/>
                    </w:rPr>
                    <w:t xml:space="preserve">RESPECT: </w:t>
                  </w:r>
                  <w:r>
                    <w:rPr>
                      <w:rFonts w:ascii="Calibri" w:hAnsi="Calibri"/>
                      <w:b w:val="0"/>
                      <w:color w:val="0F0F3F"/>
                      <w:sz w:val="18"/>
                    </w:rPr>
                    <w:t>We act responsibly, transparently and with integrity, treating people with consideration and placing health and safety first.</w:t>
                  </w:r>
                </w:p>
                <w:p w14:paraId="59E74937" w14:textId="77777777" w:rsidR="009950A9" w:rsidRPr="007446A0" w:rsidRDefault="009950A9" w:rsidP="00C477BC">
                  <w:pPr>
                    <w:spacing w:after="100"/>
                    <w:rPr>
                      <w:b w:val="0"/>
                      <w:sz w:val="18"/>
                      <w:szCs w:val="18"/>
                      <w:lang w:val="en-GB" w:eastAsia="en-GB"/>
                    </w:rPr>
                  </w:pPr>
                  <w:r>
                    <w:rPr>
                      <w:rFonts w:ascii="Calibri" w:hAnsi="Calibri"/>
                      <w:color w:val="0F0F3F"/>
                      <w:sz w:val="18"/>
                    </w:rPr>
                    <w:t xml:space="preserve">SOLIDARITY: </w:t>
                  </w:r>
                  <w:r>
                    <w:rPr>
                      <w:rFonts w:ascii="Calibri" w:hAnsi="Calibri"/>
                      <w:b w:val="0"/>
                      <w:color w:val="0F0F3F"/>
                      <w:sz w:val="18"/>
                    </w:rPr>
                    <w:t>We collaborate, share knowledge and support one another, putting the wider team ahead of individual interests.</w:t>
                  </w:r>
                </w:p>
                <w:p w14:paraId="18F0B061" w14:textId="77777777" w:rsidR="009950A9" w:rsidRPr="007446A0" w:rsidRDefault="009950A9" w:rsidP="00C477BC">
                  <w:pPr>
                    <w:spacing w:after="100"/>
                    <w:rPr>
                      <w:b w:val="0"/>
                      <w:sz w:val="18"/>
                      <w:szCs w:val="18"/>
                      <w:lang w:val="en-GB" w:eastAsia="en-GB"/>
                    </w:rPr>
                  </w:pPr>
                  <w:r>
                    <w:rPr>
                      <w:rFonts w:ascii="Calibri" w:hAnsi="Calibri"/>
                      <w:color w:val="0F0F3F"/>
                      <w:sz w:val="18"/>
                    </w:rPr>
                    <w:t xml:space="preserve">COURAGE: </w:t>
                  </w:r>
                  <w:r>
                    <w:rPr>
                      <w:rFonts w:ascii="Calibri" w:hAnsi="Calibri"/>
                      <w:b w:val="0"/>
                      <w:color w:val="0F0F3F"/>
                      <w:sz w:val="18"/>
                    </w:rPr>
                    <w:t>We ask the right questions, explore better ways of working and address difficult issues constructively.</w:t>
                  </w:r>
                </w:p>
                <w:p w14:paraId="64AB3434" w14:textId="77777777" w:rsidR="009950A9" w:rsidRPr="007446A0" w:rsidRDefault="009950A9" w:rsidP="00C477BC">
                  <w:pPr>
                    <w:spacing w:after="100"/>
                    <w:rPr>
                      <w:b w:val="0"/>
                      <w:sz w:val="18"/>
                      <w:szCs w:val="18"/>
                      <w:lang w:val="en-GB" w:eastAsia="en-GB"/>
                    </w:rPr>
                  </w:pPr>
                  <w:r>
                    <w:rPr>
                      <w:rFonts w:ascii="Calibri" w:hAnsi="Calibri"/>
                      <w:color w:val="0F0F3F"/>
                      <w:sz w:val="18"/>
                    </w:rPr>
                    <w:t xml:space="preserve">HUMILITY: </w:t>
                  </w:r>
                  <w:r>
                    <w:rPr>
                      <w:rFonts w:ascii="Calibri" w:hAnsi="Calibri"/>
                      <w:b w:val="0"/>
                      <w:color w:val="0F0F3F"/>
                      <w:sz w:val="18"/>
                    </w:rPr>
                    <w:t>We remain open to different viewpoints, learn from experience and give and receive honest feedback.</w:t>
                  </w:r>
                </w:p>
                <w:p w14:paraId="16FEAD39" w14:textId="77777777" w:rsidR="009950A9" w:rsidRPr="007446A0" w:rsidRDefault="009950A9" w:rsidP="00C477BC">
                  <w:pPr>
                    <w:spacing w:after="100"/>
                    <w:rPr>
                      <w:b w:val="0"/>
                      <w:sz w:val="18"/>
                      <w:szCs w:val="18"/>
                      <w:lang w:val="en-GB" w:eastAsia="en-GB"/>
                    </w:rPr>
                  </w:pPr>
                  <w:r>
                    <w:rPr>
                      <w:rFonts w:ascii="Calibri" w:hAnsi="Calibri"/>
                      <w:color w:val="0F0F3F"/>
                      <w:sz w:val="18"/>
                    </w:rPr>
                    <w:t xml:space="preserve">CONVIVIALITY: </w:t>
                  </w:r>
                  <w:r>
                    <w:rPr>
                      <w:rFonts w:ascii="Calibri" w:hAnsi="Calibri"/>
                      <w:b w:val="0"/>
                      <w:color w:val="0F0F3F"/>
                      <w:sz w:val="18"/>
                    </w:rPr>
                    <w:t xml:space="preserve">We build an open, inclusive team environment and </w:t>
                  </w:r>
                  <w:proofErr w:type="spellStart"/>
                  <w:r>
                    <w:rPr>
                      <w:rFonts w:ascii="Calibri" w:hAnsi="Calibri"/>
                      <w:b w:val="0"/>
                      <w:color w:val="0F0F3F"/>
                      <w:sz w:val="18"/>
                    </w:rPr>
                    <w:t>recognise</w:t>
                  </w:r>
                  <w:proofErr w:type="spellEnd"/>
                  <w:r>
                    <w:rPr>
                      <w:rFonts w:ascii="Calibri" w:hAnsi="Calibri"/>
                      <w:b w:val="0"/>
                      <w:color w:val="0F0F3F"/>
                      <w:sz w:val="18"/>
                    </w:rPr>
                    <w:t xml:space="preserve"> shared success.</w:t>
                  </w:r>
                </w:p>
              </w:tc>
            </w:tr>
          </w:tbl>
          <w:p w14:paraId="6F522AFB" w14:textId="77777777" w:rsidR="009950A9" w:rsidRDefault="009950A9"/>
          <w:p w14:paraId="15771C73" w14:textId="77777777" w:rsidR="009950A9" w:rsidRPr="009950A9" w:rsidRDefault="009950A9" w:rsidP="009950A9">
            <w:pPr>
              <w:jc w:val="both"/>
              <w:rPr>
                <w:b w:val="0"/>
                <w:bCs/>
                <w:sz w:val="2"/>
              </w:rPr>
            </w:pPr>
          </w:p>
          <w:p w14:paraId="53A01311" w14:textId="73514773" w:rsidR="009950A9" w:rsidRPr="007847BA" w:rsidRDefault="009950A9" w:rsidP="0060344A">
            <w:pPr>
              <w:jc w:val="both"/>
              <w:rPr>
                <w:b w:val="0"/>
                <w:bCs/>
                <w:sz w:val="22"/>
              </w:rPr>
            </w:pPr>
          </w:p>
        </w:tc>
      </w:tr>
    </w:tbl>
    <w:p w14:paraId="5FC8BEC7" w14:textId="77777777" w:rsidR="0060344A" w:rsidRDefault="0060344A" w:rsidP="00D806E5">
      <w:pPr>
        <w:jc w:val="both"/>
        <w:rPr>
          <w:sz w:val="22"/>
        </w:rPr>
      </w:pPr>
    </w:p>
    <w:sectPr w:rsidR="0060344A" w:rsidSect="00A50385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2240" w:h="15840" w:code="1"/>
      <w:pgMar w:top="1152" w:right="1152" w:bottom="720" w:left="1152" w:header="0" w:footer="285" w:gutter="0"/>
      <w:pgNumType w:start="0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E056C" w14:textId="77777777" w:rsidR="0021617D" w:rsidRDefault="0021617D" w:rsidP="007057F4">
      <w:r>
        <w:separator/>
      </w:r>
    </w:p>
  </w:endnote>
  <w:endnote w:type="continuationSeparator" w:id="0">
    <w:p w14:paraId="11D2A8EC" w14:textId="77777777" w:rsidR="0021617D" w:rsidRDefault="0021617D" w:rsidP="007057F4">
      <w:r>
        <w:continuationSeparator/>
      </w:r>
    </w:p>
  </w:endnote>
  <w:endnote w:type="continuationNotice" w:id="1">
    <w:p w14:paraId="7BA710F7" w14:textId="77777777" w:rsidR="0021617D" w:rsidRDefault="0021617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27D2B" w14:textId="77777777" w:rsidR="00136006" w:rsidRDefault="0021617D" w:rsidP="007057F4">
    <w:pPr>
      <w:pStyle w:val="Footer"/>
    </w:pPr>
    <w:sdt>
      <w:sdtPr>
        <w:rPr>
          <w:rFonts w:asciiTheme="majorHAnsi" w:eastAsiaTheme="majorEastAsia" w:hAnsiTheme="majorHAnsi" w:cstheme="majorBidi"/>
        </w:rPr>
        <w:id w:val="-1031106437"/>
        <w:placeholder>
          <w:docPart w:val="F012FBF231044A0C9FC8244C0AE91E2F"/>
        </w:placeholder>
        <w:temporary/>
        <w:showingPlcHdr/>
      </w:sdtPr>
      <w:sdtEndPr/>
      <w:sdtContent>
        <w:r w:rsidR="00F45884">
          <w:t>Title</w:t>
        </w:r>
      </w:sdtContent>
    </w:sdt>
    <w:r w:rsidR="0049185C">
      <w:rPr>
        <w:rFonts w:asciiTheme="majorHAnsi" w:eastAsiaTheme="majorEastAsia" w:hAnsiTheme="majorHAnsi" w:cstheme="majorBidi"/>
      </w:rPr>
      <w:ptab w:relativeTo="margin" w:alignment="right" w:leader="none"/>
    </w:r>
    <w:r w:rsidR="0049185C">
      <w:rPr>
        <w:rFonts w:asciiTheme="majorHAnsi" w:eastAsiaTheme="majorEastAsia" w:hAnsiTheme="majorHAnsi" w:cstheme="majorBidi"/>
      </w:rPr>
      <w:t xml:space="preserve">Page </w:t>
    </w:r>
    <w:r w:rsidR="0049185C">
      <w:fldChar w:fldCharType="begin"/>
    </w:r>
    <w:r w:rsidR="0049185C">
      <w:instrText xml:space="preserve"> PAGE   \* MERGEFORMAT </w:instrText>
    </w:r>
    <w:r w:rsidR="0049185C">
      <w:fldChar w:fldCharType="separate"/>
    </w:r>
    <w:r w:rsidR="0049185C">
      <w:rPr>
        <w:rFonts w:asciiTheme="majorHAnsi" w:eastAsiaTheme="majorEastAsia" w:hAnsiTheme="majorHAnsi" w:cstheme="majorBidi"/>
        <w:noProof/>
      </w:rPr>
      <w:t>4</w:t>
    </w:r>
    <w:r w:rsidR="0049185C">
      <w:rPr>
        <w:rFonts w:asciiTheme="majorHAnsi" w:eastAsiaTheme="majorEastAsia" w:hAnsiTheme="majorHAnsi" w:cstheme="majorBidi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71F91" w14:textId="77777777" w:rsidR="009D3627" w:rsidRDefault="009D3627" w:rsidP="00A50385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90ECC" w14:textId="77777777" w:rsidR="009D3627" w:rsidRDefault="009D3627" w:rsidP="009D3627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C2725" w14:textId="77777777" w:rsidR="0021617D" w:rsidRDefault="0021617D" w:rsidP="007057F4">
      <w:r>
        <w:separator/>
      </w:r>
    </w:p>
  </w:footnote>
  <w:footnote w:type="continuationSeparator" w:id="0">
    <w:p w14:paraId="515FCCAD" w14:textId="77777777" w:rsidR="0021617D" w:rsidRDefault="0021617D" w:rsidP="007057F4">
      <w:r>
        <w:continuationSeparator/>
      </w:r>
    </w:p>
  </w:footnote>
  <w:footnote w:type="continuationNotice" w:id="1">
    <w:p w14:paraId="0D06B982" w14:textId="77777777" w:rsidR="0021617D" w:rsidRDefault="0021617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857A" w14:textId="77777777" w:rsidR="00136006" w:rsidRDefault="0049185C" w:rsidP="007057F4">
    <w:pPr>
      <w:pStyle w:val="Header"/>
    </w:pPr>
    <w:r>
      <w:t>External Reporting Accountant</w:t>
    </w:r>
  </w:p>
  <w:p w14:paraId="67CA8584" w14:textId="77777777" w:rsidR="00136006" w:rsidRDefault="00136006" w:rsidP="007057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311" w:type="dxa"/>
      <w:tblInd w:w="-14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432" w:type="dxa"/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311"/>
    </w:tblGrid>
    <w:tr w:rsidR="007057F4" w14:paraId="05ED4515" w14:textId="77777777" w:rsidTr="007057F4">
      <w:trPr>
        <w:trHeight w:val="1712"/>
      </w:trPr>
      <w:tc>
        <w:tcPr>
          <w:tcW w:w="12311" w:type="dxa"/>
          <w:tcBorders>
            <w:top w:val="nil"/>
            <w:left w:val="nil"/>
            <w:bottom w:val="nil"/>
            <w:right w:val="nil"/>
          </w:tcBorders>
        </w:tcPr>
        <w:p w14:paraId="0CC89448" w14:textId="40949F9E" w:rsidR="007057F4" w:rsidRDefault="00ED2EE0" w:rsidP="00BC4114">
          <w:pPr>
            <w:pStyle w:val="Header"/>
            <w:jc w:val="lef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49CF80A6" wp14:editId="133B5D8E">
                <wp:simplePos x="0" y="0"/>
                <wp:positionH relativeFrom="column">
                  <wp:posOffset>-24793</wp:posOffset>
                </wp:positionH>
                <wp:positionV relativeFrom="paragraph">
                  <wp:posOffset>35781</wp:posOffset>
                </wp:positionV>
                <wp:extent cx="3872286" cy="691515"/>
                <wp:effectExtent l="0" t="0" r="0" b="0"/>
                <wp:wrapNone/>
                <wp:docPr id="7" name="Graphic 7" descr="colored rectang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Graphic 14" descr="colored rectangl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05761" cy="6974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58242" behindDoc="0" locked="0" layoutInCell="1" allowOverlap="1" wp14:anchorId="30EEE93D" wp14:editId="206E7758">
                    <wp:simplePos x="0" y="0"/>
                    <wp:positionH relativeFrom="column">
                      <wp:posOffset>-939</wp:posOffset>
                    </wp:positionH>
                    <wp:positionV relativeFrom="paragraph">
                      <wp:posOffset>51683</wp:posOffset>
                    </wp:positionV>
                    <wp:extent cx="3771900" cy="659959"/>
                    <wp:effectExtent l="0" t="0" r="0" b="0"/>
                    <wp:wrapNone/>
                    <wp:docPr id="217" name="Text Box 21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771900" cy="6599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02513F" w14:textId="237081BC" w:rsidR="00ED2EE0" w:rsidRPr="00ED2EE0" w:rsidRDefault="00D123C6" w:rsidP="00D806E5">
                                <w:pPr>
                                  <w:jc w:val="center"/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30"/>
                                    <w:szCs w:val="30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30"/>
                                    <w:szCs w:val="30"/>
                                  </w:rPr>
                                  <w:t>External</w:t>
                                </w:r>
                                <w:r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30"/>
                                    <w:szCs w:val="30"/>
                                  </w:rPr>
                                  <w:br/>
                                  <w:t>Reporting Accountant</w:t>
                                </w:r>
                                <w:r w:rsidR="00ED2EE0" w:rsidRPr="00ED2EE0"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0EEE93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17" o:spid="_x0000_s1026" type="#_x0000_t202" style="position:absolute;margin-left:-.05pt;margin-top:4.05pt;width:297pt;height:51.9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" filled="f" stroked="f">
                    <v:textbox>
                      <w:txbxContent>
                        <w:p w14:paraId="1802513F" w14:textId="237081BC" w:rsidR="00ED2EE0" w:rsidRPr="00ED2EE0" w:rsidRDefault="00D123C6" w:rsidP="00D806E5">
                          <w:pPr>
                            <w:jc w:val="center"/>
                            <w:rPr>
                              <w:rFonts w:asciiTheme="majorHAnsi" w:hAnsiTheme="majorHAnsi"/>
                              <w:color w:val="FFFFFF" w:themeColor="background1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FFFFFF" w:themeColor="background1"/>
                              <w:sz w:val="30"/>
                              <w:szCs w:val="30"/>
                            </w:rPr>
                            <w:t>External</w:t>
                          </w:r>
                          <w:r>
                            <w:rPr>
                              <w:rFonts w:asciiTheme="majorHAnsi" w:hAnsiTheme="majorHAnsi"/>
                              <w:color w:val="FFFFFF" w:themeColor="background1"/>
                              <w:sz w:val="30"/>
                              <w:szCs w:val="30"/>
                            </w:rPr>
                            <w:br/>
                            <w:t>Reporting Accountant</w:t>
                          </w:r>
                          <w:r w:rsidR="00ED2EE0" w:rsidRPr="00ED2EE0">
                            <w:rPr>
                              <w:rFonts w:asciiTheme="majorHAnsi" w:hAnsiTheme="majorHAnsi"/>
                              <w:color w:val="FFFFFF" w:themeColor="background1"/>
                              <w:sz w:val="30"/>
                              <w:szCs w:val="30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B17748"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0E378A6A" wp14:editId="3D297040">
                <wp:simplePos x="0" y="0"/>
                <wp:positionH relativeFrom="column">
                  <wp:posOffset>6139180</wp:posOffset>
                </wp:positionH>
                <wp:positionV relativeFrom="paragraph">
                  <wp:posOffset>17780</wp:posOffset>
                </wp:positionV>
                <wp:extent cx="1282065" cy="647065"/>
                <wp:effectExtent l="0" t="0" r="0" b="635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2065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C4114">
            <w:t>AA</w:t>
          </w:r>
        </w:p>
      </w:tc>
    </w:tr>
  </w:tbl>
  <w:p w14:paraId="7A7FEF92" w14:textId="77777777" w:rsidR="007057F4" w:rsidRDefault="007057F4" w:rsidP="007057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EC440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A2EA5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89CA9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2361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AC07FA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1EA040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34FE8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48A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67C2F0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341BB9"/>
    <w:multiLevelType w:val="multilevel"/>
    <w:tmpl w:val="A198B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5CE4D72"/>
    <w:multiLevelType w:val="hybridMultilevel"/>
    <w:tmpl w:val="85301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D4376F"/>
    <w:multiLevelType w:val="hybridMultilevel"/>
    <w:tmpl w:val="D0FE3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4168D"/>
    <w:multiLevelType w:val="hybridMultilevel"/>
    <w:tmpl w:val="C45EBB7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BC240C7"/>
    <w:multiLevelType w:val="hybridMultilevel"/>
    <w:tmpl w:val="BA2225F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326A8F"/>
    <w:multiLevelType w:val="multilevel"/>
    <w:tmpl w:val="827E7D56"/>
    <w:lvl w:ilvl="0">
      <w:start w:val="1"/>
      <w:numFmt w:val="decimal"/>
      <w:pStyle w:val="CAPItemNumber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13821985"/>
    <w:multiLevelType w:val="hybridMultilevel"/>
    <w:tmpl w:val="8432FF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E25272"/>
    <w:multiLevelType w:val="hybridMultilevel"/>
    <w:tmpl w:val="45647F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5AC2086"/>
    <w:multiLevelType w:val="hybridMultilevel"/>
    <w:tmpl w:val="ECCA9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623152"/>
    <w:multiLevelType w:val="hybridMultilevel"/>
    <w:tmpl w:val="836AF0E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4BB5AEF"/>
    <w:multiLevelType w:val="hybridMultilevel"/>
    <w:tmpl w:val="B7E42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CB1B81"/>
    <w:multiLevelType w:val="hybridMultilevel"/>
    <w:tmpl w:val="C3BEE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04019F"/>
    <w:multiLevelType w:val="hybridMultilevel"/>
    <w:tmpl w:val="BD329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DD42B9"/>
    <w:multiLevelType w:val="hybridMultilevel"/>
    <w:tmpl w:val="E32A6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5F225E"/>
    <w:multiLevelType w:val="hybridMultilevel"/>
    <w:tmpl w:val="2F006B3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1C710A"/>
    <w:multiLevelType w:val="hybridMultilevel"/>
    <w:tmpl w:val="63AC482A"/>
    <w:lvl w:ilvl="0" w:tplc="88C686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17A6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E2D3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E04E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8CD9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52AD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A2CB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3290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3482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3E2018"/>
    <w:multiLevelType w:val="hybridMultilevel"/>
    <w:tmpl w:val="060C6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CE10D9"/>
    <w:multiLevelType w:val="hybridMultilevel"/>
    <w:tmpl w:val="B84E0CE4"/>
    <w:lvl w:ilvl="0" w:tplc="EF30937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4978C0"/>
    <w:multiLevelType w:val="hybridMultilevel"/>
    <w:tmpl w:val="3DE61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3A398F"/>
    <w:multiLevelType w:val="hybridMultilevel"/>
    <w:tmpl w:val="E57C7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CD27A9"/>
    <w:multiLevelType w:val="hybridMultilevel"/>
    <w:tmpl w:val="90045844"/>
    <w:lvl w:ilvl="0" w:tplc="FB381F5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6240E5"/>
    <w:multiLevelType w:val="hybridMultilevel"/>
    <w:tmpl w:val="DCFEADB2"/>
    <w:lvl w:ilvl="0" w:tplc="21E6E29E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4B90963"/>
    <w:multiLevelType w:val="hybridMultilevel"/>
    <w:tmpl w:val="AE80D602"/>
    <w:lvl w:ilvl="0" w:tplc="34BEDE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5CE10B4"/>
    <w:multiLevelType w:val="hybridMultilevel"/>
    <w:tmpl w:val="0862D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936598"/>
    <w:multiLevelType w:val="hybridMultilevel"/>
    <w:tmpl w:val="E48EB1CA"/>
    <w:lvl w:ilvl="0" w:tplc="AE14A238">
      <w:numFmt w:val="bullet"/>
      <w:lvlText w:val="•"/>
      <w:lvlJc w:val="left"/>
      <w:pPr>
        <w:ind w:left="1080" w:hanging="72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DF5B31"/>
    <w:multiLevelType w:val="hybridMultilevel"/>
    <w:tmpl w:val="8432FF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286567"/>
    <w:multiLevelType w:val="hybridMultilevel"/>
    <w:tmpl w:val="8432FF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D05629"/>
    <w:multiLevelType w:val="multilevel"/>
    <w:tmpl w:val="5418769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7" w15:restartNumberingAfterBreak="0">
    <w:nsid w:val="68530404"/>
    <w:multiLevelType w:val="hybridMultilevel"/>
    <w:tmpl w:val="125CB464"/>
    <w:lvl w:ilvl="0" w:tplc="5570FE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A13B11"/>
    <w:multiLevelType w:val="hybridMultilevel"/>
    <w:tmpl w:val="E856DF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8858FF"/>
    <w:multiLevelType w:val="hybridMultilevel"/>
    <w:tmpl w:val="CC5A1E08"/>
    <w:lvl w:ilvl="0" w:tplc="0809000B">
      <w:start w:val="1"/>
      <w:numFmt w:val="bullet"/>
      <w:lvlText w:val=""/>
      <w:lvlJc w:val="left"/>
      <w:pPr>
        <w:ind w:left="84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40" w15:restartNumberingAfterBreak="0">
    <w:nsid w:val="710A6E91"/>
    <w:multiLevelType w:val="hybridMultilevel"/>
    <w:tmpl w:val="1EF648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D85391"/>
    <w:multiLevelType w:val="multilevel"/>
    <w:tmpl w:val="A2F88B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</w:abstractNum>
  <w:abstractNum w:abstractNumId="42" w15:restartNumberingAfterBreak="0">
    <w:nsid w:val="79AC0104"/>
    <w:multiLevelType w:val="multilevel"/>
    <w:tmpl w:val="C37E5FF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upperRoman"/>
      <w:lvlText w:val="%6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B6E7B62"/>
    <w:multiLevelType w:val="hybridMultilevel"/>
    <w:tmpl w:val="0F5EF7E0"/>
    <w:lvl w:ilvl="0" w:tplc="FC54D8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7E211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4F6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B448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24DA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8AC9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82FD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D6D3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D6BF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A25A81"/>
    <w:multiLevelType w:val="hybridMultilevel"/>
    <w:tmpl w:val="AE38280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5" w15:restartNumberingAfterBreak="0">
    <w:nsid w:val="7F867F8E"/>
    <w:multiLevelType w:val="hybridMultilevel"/>
    <w:tmpl w:val="80A49A54"/>
    <w:lvl w:ilvl="0" w:tplc="10D64394">
      <w:start w:val="1"/>
      <w:numFmt w:val="bullet"/>
      <w:lvlText w:val=""/>
      <w:lvlJc w:val="left"/>
      <w:pPr>
        <w:tabs>
          <w:tab w:val="num" w:pos="317"/>
        </w:tabs>
        <w:ind w:left="317" w:hanging="31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429513">
    <w:abstractNumId w:val="8"/>
  </w:num>
  <w:num w:numId="2" w16cid:durableId="1494838617">
    <w:abstractNumId w:val="42"/>
  </w:num>
  <w:num w:numId="3" w16cid:durableId="1020086761">
    <w:abstractNumId w:val="43"/>
  </w:num>
  <w:num w:numId="4" w16cid:durableId="314336052">
    <w:abstractNumId w:val="45"/>
  </w:num>
  <w:num w:numId="5" w16cid:durableId="158545094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762420">
    <w:abstractNumId w:val="24"/>
  </w:num>
  <w:num w:numId="7" w16cid:durableId="633678265">
    <w:abstractNumId w:val="41"/>
  </w:num>
  <w:num w:numId="8" w16cid:durableId="400560090">
    <w:abstractNumId w:val="7"/>
  </w:num>
  <w:num w:numId="9" w16cid:durableId="582378693">
    <w:abstractNumId w:val="6"/>
  </w:num>
  <w:num w:numId="10" w16cid:durableId="643126436">
    <w:abstractNumId w:val="5"/>
  </w:num>
  <w:num w:numId="11" w16cid:durableId="893078959">
    <w:abstractNumId w:val="4"/>
  </w:num>
  <w:num w:numId="12" w16cid:durableId="12458436">
    <w:abstractNumId w:val="3"/>
  </w:num>
  <w:num w:numId="13" w16cid:durableId="855775833">
    <w:abstractNumId w:val="2"/>
  </w:num>
  <w:num w:numId="14" w16cid:durableId="727996008">
    <w:abstractNumId w:val="1"/>
  </w:num>
  <w:num w:numId="15" w16cid:durableId="449011748">
    <w:abstractNumId w:val="0"/>
  </w:num>
  <w:num w:numId="16" w16cid:durableId="1238394785">
    <w:abstractNumId w:val="27"/>
  </w:num>
  <w:num w:numId="17" w16cid:durableId="101415784">
    <w:abstractNumId w:val="30"/>
  </w:num>
  <w:num w:numId="18" w16cid:durableId="1704941650">
    <w:abstractNumId w:val="19"/>
  </w:num>
  <w:num w:numId="19" w16cid:durableId="343827849">
    <w:abstractNumId w:val="28"/>
  </w:num>
  <w:num w:numId="20" w16cid:durableId="1253783894">
    <w:abstractNumId w:val="33"/>
  </w:num>
  <w:num w:numId="21" w16cid:durableId="106970824">
    <w:abstractNumId w:val="14"/>
  </w:num>
  <w:num w:numId="22" w16cid:durableId="1037580228">
    <w:abstractNumId w:val="12"/>
  </w:num>
  <w:num w:numId="23" w16cid:durableId="54091586">
    <w:abstractNumId w:val="39"/>
  </w:num>
  <w:num w:numId="24" w16cid:durableId="940840172">
    <w:abstractNumId w:val="38"/>
  </w:num>
  <w:num w:numId="25" w16cid:durableId="1349940613">
    <w:abstractNumId w:val="40"/>
  </w:num>
  <w:num w:numId="26" w16cid:durableId="444883528">
    <w:abstractNumId w:val="15"/>
  </w:num>
  <w:num w:numId="27" w16cid:durableId="187989089">
    <w:abstractNumId w:val="23"/>
  </w:num>
  <w:num w:numId="28" w16cid:durableId="87970383">
    <w:abstractNumId w:val="20"/>
  </w:num>
  <w:num w:numId="29" w16cid:durableId="281499201">
    <w:abstractNumId w:val="44"/>
  </w:num>
  <w:num w:numId="30" w16cid:durableId="685714024">
    <w:abstractNumId w:val="35"/>
  </w:num>
  <w:num w:numId="31" w16cid:durableId="1503738001">
    <w:abstractNumId w:val="10"/>
  </w:num>
  <w:num w:numId="32" w16cid:durableId="1542278912">
    <w:abstractNumId w:val="21"/>
  </w:num>
  <w:num w:numId="33" w16cid:durableId="1986006525">
    <w:abstractNumId w:val="34"/>
  </w:num>
  <w:num w:numId="34" w16cid:durableId="1828863382">
    <w:abstractNumId w:val="17"/>
  </w:num>
  <w:num w:numId="35" w16cid:durableId="784540518">
    <w:abstractNumId w:val="36"/>
  </w:num>
  <w:num w:numId="36" w16cid:durableId="87504904">
    <w:abstractNumId w:val="11"/>
  </w:num>
  <w:num w:numId="37" w16cid:durableId="1823501639">
    <w:abstractNumId w:val="26"/>
  </w:num>
  <w:num w:numId="38" w16cid:durableId="1491870644">
    <w:abstractNumId w:val="9"/>
  </w:num>
  <w:num w:numId="39" w16cid:durableId="1855068962">
    <w:abstractNumId w:val="25"/>
  </w:num>
  <w:num w:numId="40" w16cid:durableId="742752063">
    <w:abstractNumId w:val="13"/>
  </w:num>
  <w:num w:numId="41" w16cid:durableId="1427188338">
    <w:abstractNumId w:val="29"/>
  </w:num>
  <w:num w:numId="42" w16cid:durableId="81220525">
    <w:abstractNumId w:val="18"/>
  </w:num>
  <w:num w:numId="43" w16cid:durableId="1920291220">
    <w:abstractNumId w:val="31"/>
  </w:num>
  <w:num w:numId="44" w16cid:durableId="1576744115">
    <w:abstractNumId w:val="16"/>
  </w:num>
  <w:num w:numId="45" w16cid:durableId="854881823">
    <w:abstractNumId w:val="32"/>
  </w:num>
  <w:num w:numId="46" w16cid:durableId="2043363377">
    <w:abstractNumId w:val="37"/>
  </w:num>
  <w:num w:numId="47" w16cid:durableId="5703101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CA6"/>
    <w:rsid w:val="00004129"/>
    <w:rsid w:val="00013137"/>
    <w:rsid w:val="00013421"/>
    <w:rsid w:val="00013B6E"/>
    <w:rsid w:val="000174F2"/>
    <w:rsid w:val="00020464"/>
    <w:rsid w:val="00024D30"/>
    <w:rsid w:val="000303B4"/>
    <w:rsid w:val="00030A17"/>
    <w:rsid w:val="00031E62"/>
    <w:rsid w:val="00037E25"/>
    <w:rsid w:val="00044DE3"/>
    <w:rsid w:val="00054D4A"/>
    <w:rsid w:val="00067C92"/>
    <w:rsid w:val="00070EF8"/>
    <w:rsid w:val="00077524"/>
    <w:rsid w:val="000779CE"/>
    <w:rsid w:val="00082921"/>
    <w:rsid w:val="000A0D98"/>
    <w:rsid w:val="000B15B8"/>
    <w:rsid w:val="000B36E8"/>
    <w:rsid w:val="000C0889"/>
    <w:rsid w:val="000C3568"/>
    <w:rsid w:val="000D0899"/>
    <w:rsid w:val="000E0654"/>
    <w:rsid w:val="000E1B54"/>
    <w:rsid w:val="000E2B75"/>
    <w:rsid w:val="000F3566"/>
    <w:rsid w:val="000F5B87"/>
    <w:rsid w:val="000F74EB"/>
    <w:rsid w:val="00103F1C"/>
    <w:rsid w:val="00122F66"/>
    <w:rsid w:val="001240A9"/>
    <w:rsid w:val="001246C1"/>
    <w:rsid w:val="00126FF6"/>
    <w:rsid w:val="001339DC"/>
    <w:rsid w:val="00136006"/>
    <w:rsid w:val="0014289B"/>
    <w:rsid w:val="001438A8"/>
    <w:rsid w:val="001449EC"/>
    <w:rsid w:val="00146AE8"/>
    <w:rsid w:val="00146CD2"/>
    <w:rsid w:val="0014FFE2"/>
    <w:rsid w:val="00153CE9"/>
    <w:rsid w:val="00160C7C"/>
    <w:rsid w:val="001670A7"/>
    <w:rsid w:val="00176193"/>
    <w:rsid w:val="00182293"/>
    <w:rsid w:val="001A2217"/>
    <w:rsid w:val="001A36FB"/>
    <w:rsid w:val="001B361F"/>
    <w:rsid w:val="001B7684"/>
    <w:rsid w:val="001C2FF3"/>
    <w:rsid w:val="001C5072"/>
    <w:rsid w:val="001C79F4"/>
    <w:rsid w:val="001C7CBF"/>
    <w:rsid w:val="001E4DE6"/>
    <w:rsid w:val="001E6BD5"/>
    <w:rsid w:val="001F0AF0"/>
    <w:rsid w:val="001F0BC3"/>
    <w:rsid w:val="001F15CC"/>
    <w:rsid w:val="001F1929"/>
    <w:rsid w:val="001F781D"/>
    <w:rsid w:val="0020065A"/>
    <w:rsid w:val="00210AE1"/>
    <w:rsid w:val="002123BC"/>
    <w:rsid w:val="00213C93"/>
    <w:rsid w:val="0021617D"/>
    <w:rsid w:val="00216EB9"/>
    <w:rsid w:val="002176E8"/>
    <w:rsid w:val="002178B9"/>
    <w:rsid w:val="00217FED"/>
    <w:rsid w:val="00220954"/>
    <w:rsid w:val="00224FBD"/>
    <w:rsid w:val="0023224D"/>
    <w:rsid w:val="002436E4"/>
    <w:rsid w:val="002443F1"/>
    <w:rsid w:val="00253FA6"/>
    <w:rsid w:val="00254403"/>
    <w:rsid w:val="00254E1B"/>
    <w:rsid w:val="00255706"/>
    <w:rsid w:val="002578DB"/>
    <w:rsid w:val="00262186"/>
    <w:rsid w:val="00263ACC"/>
    <w:rsid w:val="00264864"/>
    <w:rsid w:val="00266F79"/>
    <w:rsid w:val="00273B50"/>
    <w:rsid w:val="00281BFF"/>
    <w:rsid w:val="002820A7"/>
    <w:rsid w:val="00284F3D"/>
    <w:rsid w:val="00291712"/>
    <w:rsid w:val="00296F4D"/>
    <w:rsid w:val="00297E34"/>
    <w:rsid w:val="002B1655"/>
    <w:rsid w:val="002B342A"/>
    <w:rsid w:val="002B680D"/>
    <w:rsid w:val="002C2276"/>
    <w:rsid w:val="002D1818"/>
    <w:rsid w:val="002E0194"/>
    <w:rsid w:val="002E291A"/>
    <w:rsid w:val="002F0D81"/>
    <w:rsid w:val="002F49F0"/>
    <w:rsid w:val="002F4A06"/>
    <w:rsid w:val="002F5A37"/>
    <w:rsid w:val="002F69A2"/>
    <w:rsid w:val="00303EF8"/>
    <w:rsid w:val="00305833"/>
    <w:rsid w:val="00322990"/>
    <w:rsid w:val="00323D6B"/>
    <w:rsid w:val="0035143C"/>
    <w:rsid w:val="0036053D"/>
    <w:rsid w:val="003620E2"/>
    <w:rsid w:val="00363EA6"/>
    <w:rsid w:val="00374FD4"/>
    <w:rsid w:val="003809F5"/>
    <w:rsid w:val="00381816"/>
    <w:rsid w:val="003877DE"/>
    <w:rsid w:val="0039197A"/>
    <w:rsid w:val="003A082B"/>
    <w:rsid w:val="003B569E"/>
    <w:rsid w:val="003B6D6D"/>
    <w:rsid w:val="003D0644"/>
    <w:rsid w:val="003D42C9"/>
    <w:rsid w:val="003E0729"/>
    <w:rsid w:val="003E1570"/>
    <w:rsid w:val="003E2AA1"/>
    <w:rsid w:val="003E767C"/>
    <w:rsid w:val="003F2699"/>
    <w:rsid w:val="003F3347"/>
    <w:rsid w:val="003F5051"/>
    <w:rsid w:val="003F7B85"/>
    <w:rsid w:val="00403F9F"/>
    <w:rsid w:val="00410509"/>
    <w:rsid w:val="00414CC8"/>
    <w:rsid w:val="00420DF5"/>
    <w:rsid w:val="004227FB"/>
    <w:rsid w:val="00423E00"/>
    <w:rsid w:val="00434BAE"/>
    <w:rsid w:val="004371B6"/>
    <w:rsid w:val="004441B4"/>
    <w:rsid w:val="00444C7B"/>
    <w:rsid w:val="00460ED4"/>
    <w:rsid w:val="004626B6"/>
    <w:rsid w:val="00465C25"/>
    <w:rsid w:val="004834A0"/>
    <w:rsid w:val="004843F3"/>
    <w:rsid w:val="00485314"/>
    <w:rsid w:val="0048718B"/>
    <w:rsid w:val="0049036A"/>
    <w:rsid w:val="00490B14"/>
    <w:rsid w:val="0049185C"/>
    <w:rsid w:val="00492A48"/>
    <w:rsid w:val="004A5F51"/>
    <w:rsid w:val="004A6012"/>
    <w:rsid w:val="004A63C4"/>
    <w:rsid w:val="004B40B9"/>
    <w:rsid w:val="004B5073"/>
    <w:rsid w:val="004B79E6"/>
    <w:rsid w:val="004C3414"/>
    <w:rsid w:val="004D6D7A"/>
    <w:rsid w:val="004E3368"/>
    <w:rsid w:val="004E43D4"/>
    <w:rsid w:val="004E46C4"/>
    <w:rsid w:val="004F2231"/>
    <w:rsid w:val="004F5AF5"/>
    <w:rsid w:val="004F63DD"/>
    <w:rsid w:val="0050601C"/>
    <w:rsid w:val="005111C8"/>
    <w:rsid w:val="005112D1"/>
    <w:rsid w:val="005118ED"/>
    <w:rsid w:val="00512B24"/>
    <w:rsid w:val="005141E9"/>
    <w:rsid w:val="00526B39"/>
    <w:rsid w:val="00531A84"/>
    <w:rsid w:val="00535ACF"/>
    <w:rsid w:val="00535DF2"/>
    <w:rsid w:val="00536279"/>
    <w:rsid w:val="00537200"/>
    <w:rsid w:val="00543BE3"/>
    <w:rsid w:val="0055035B"/>
    <w:rsid w:val="00550A98"/>
    <w:rsid w:val="00550B39"/>
    <w:rsid w:val="0055325D"/>
    <w:rsid w:val="00553CBC"/>
    <w:rsid w:val="0057337E"/>
    <w:rsid w:val="00575A3C"/>
    <w:rsid w:val="0058522F"/>
    <w:rsid w:val="005862FF"/>
    <w:rsid w:val="005864BC"/>
    <w:rsid w:val="00586A23"/>
    <w:rsid w:val="00587599"/>
    <w:rsid w:val="00594978"/>
    <w:rsid w:val="005979A2"/>
    <w:rsid w:val="00597CA6"/>
    <w:rsid w:val="005B2EF6"/>
    <w:rsid w:val="005C3643"/>
    <w:rsid w:val="005C3D28"/>
    <w:rsid w:val="005D539B"/>
    <w:rsid w:val="005D590A"/>
    <w:rsid w:val="005E0131"/>
    <w:rsid w:val="005E3F44"/>
    <w:rsid w:val="005E4108"/>
    <w:rsid w:val="005E4CBA"/>
    <w:rsid w:val="005F0E58"/>
    <w:rsid w:val="005F1AEE"/>
    <w:rsid w:val="00600383"/>
    <w:rsid w:val="0060344A"/>
    <w:rsid w:val="006056FE"/>
    <w:rsid w:val="00605CE1"/>
    <w:rsid w:val="0060643B"/>
    <w:rsid w:val="00607356"/>
    <w:rsid w:val="006122B2"/>
    <w:rsid w:val="006151DB"/>
    <w:rsid w:val="006204A8"/>
    <w:rsid w:val="00623596"/>
    <w:rsid w:val="006254A8"/>
    <w:rsid w:val="006258F4"/>
    <w:rsid w:val="006370DB"/>
    <w:rsid w:val="00642E46"/>
    <w:rsid w:val="00653000"/>
    <w:rsid w:val="00654594"/>
    <w:rsid w:val="00666E62"/>
    <w:rsid w:val="006720D9"/>
    <w:rsid w:val="006755F5"/>
    <w:rsid w:val="0068500D"/>
    <w:rsid w:val="00685EAA"/>
    <w:rsid w:val="00687E03"/>
    <w:rsid w:val="006A5257"/>
    <w:rsid w:val="006B2692"/>
    <w:rsid w:val="006B397A"/>
    <w:rsid w:val="006B691D"/>
    <w:rsid w:val="006C26E9"/>
    <w:rsid w:val="006C3949"/>
    <w:rsid w:val="006C3A01"/>
    <w:rsid w:val="00704D08"/>
    <w:rsid w:val="007057F4"/>
    <w:rsid w:val="00711541"/>
    <w:rsid w:val="007150AD"/>
    <w:rsid w:val="007248CE"/>
    <w:rsid w:val="00730AF4"/>
    <w:rsid w:val="00731D0F"/>
    <w:rsid w:val="00732B79"/>
    <w:rsid w:val="007417B3"/>
    <w:rsid w:val="00742102"/>
    <w:rsid w:val="0074355C"/>
    <w:rsid w:val="007446A0"/>
    <w:rsid w:val="00747658"/>
    <w:rsid w:val="00750AC4"/>
    <w:rsid w:val="0075175C"/>
    <w:rsid w:val="00753784"/>
    <w:rsid w:val="00761F4D"/>
    <w:rsid w:val="00762A67"/>
    <w:rsid w:val="007654F8"/>
    <w:rsid w:val="00773B66"/>
    <w:rsid w:val="00773EF9"/>
    <w:rsid w:val="00775294"/>
    <w:rsid w:val="007847BA"/>
    <w:rsid w:val="0079236F"/>
    <w:rsid w:val="007A0334"/>
    <w:rsid w:val="007A7096"/>
    <w:rsid w:val="007B07A1"/>
    <w:rsid w:val="007B5A4A"/>
    <w:rsid w:val="007B64F8"/>
    <w:rsid w:val="007B7AFE"/>
    <w:rsid w:val="007C191F"/>
    <w:rsid w:val="007C5CB4"/>
    <w:rsid w:val="007C7473"/>
    <w:rsid w:val="007D23DB"/>
    <w:rsid w:val="007D26F1"/>
    <w:rsid w:val="007E2673"/>
    <w:rsid w:val="007E4825"/>
    <w:rsid w:val="007E5499"/>
    <w:rsid w:val="008043B3"/>
    <w:rsid w:val="00817395"/>
    <w:rsid w:val="00820585"/>
    <w:rsid w:val="008253A5"/>
    <w:rsid w:val="008268E4"/>
    <w:rsid w:val="00830FCA"/>
    <w:rsid w:val="008371C6"/>
    <w:rsid w:val="008379A1"/>
    <w:rsid w:val="008417CE"/>
    <w:rsid w:val="0084277E"/>
    <w:rsid w:val="00842ED4"/>
    <w:rsid w:val="008433CB"/>
    <w:rsid w:val="00843750"/>
    <w:rsid w:val="008464FF"/>
    <w:rsid w:val="00865808"/>
    <w:rsid w:val="00870464"/>
    <w:rsid w:val="00873A8A"/>
    <w:rsid w:val="00881963"/>
    <w:rsid w:val="008831A4"/>
    <w:rsid w:val="00887D95"/>
    <w:rsid w:val="008947E6"/>
    <w:rsid w:val="008968D7"/>
    <w:rsid w:val="008A3C95"/>
    <w:rsid w:val="008A6139"/>
    <w:rsid w:val="008A7BE6"/>
    <w:rsid w:val="008B663C"/>
    <w:rsid w:val="008C215E"/>
    <w:rsid w:val="008C386D"/>
    <w:rsid w:val="008C5106"/>
    <w:rsid w:val="008C5310"/>
    <w:rsid w:val="008C5391"/>
    <w:rsid w:val="008D26EF"/>
    <w:rsid w:val="008D2DBD"/>
    <w:rsid w:val="008D4ECC"/>
    <w:rsid w:val="008D5829"/>
    <w:rsid w:val="008E7FA3"/>
    <w:rsid w:val="008F2957"/>
    <w:rsid w:val="008F4600"/>
    <w:rsid w:val="008F4717"/>
    <w:rsid w:val="00910565"/>
    <w:rsid w:val="00912B0B"/>
    <w:rsid w:val="0091703F"/>
    <w:rsid w:val="0092499C"/>
    <w:rsid w:val="00925342"/>
    <w:rsid w:val="00926C89"/>
    <w:rsid w:val="0092774D"/>
    <w:rsid w:val="00933EC8"/>
    <w:rsid w:val="009350B3"/>
    <w:rsid w:val="00944E1B"/>
    <w:rsid w:val="00946F55"/>
    <w:rsid w:val="009543D6"/>
    <w:rsid w:val="00962AEE"/>
    <w:rsid w:val="00964A8B"/>
    <w:rsid w:val="00965BD5"/>
    <w:rsid w:val="00966D6C"/>
    <w:rsid w:val="00966FCE"/>
    <w:rsid w:val="009674E5"/>
    <w:rsid w:val="00976AC2"/>
    <w:rsid w:val="0098237C"/>
    <w:rsid w:val="0098325F"/>
    <w:rsid w:val="00983DC8"/>
    <w:rsid w:val="00987578"/>
    <w:rsid w:val="009875C8"/>
    <w:rsid w:val="00991D08"/>
    <w:rsid w:val="009950A9"/>
    <w:rsid w:val="009957EB"/>
    <w:rsid w:val="009A0B98"/>
    <w:rsid w:val="009C087E"/>
    <w:rsid w:val="009C201A"/>
    <w:rsid w:val="009C6048"/>
    <w:rsid w:val="009C67FE"/>
    <w:rsid w:val="009D0648"/>
    <w:rsid w:val="009D3627"/>
    <w:rsid w:val="009D4CEC"/>
    <w:rsid w:val="009E1C22"/>
    <w:rsid w:val="009E22E3"/>
    <w:rsid w:val="009E2BB3"/>
    <w:rsid w:val="009E4FC3"/>
    <w:rsid w:val="009F3647"/>
    <w:rsid w:val="009F4E8B"/>
    <w:rsid w:val="00A0712B"/>
    <w:rsid w:val="00A109A0"/>
    <w:rsid w:val="00A14CC3"/>
    <w:rsid w:val="00A153F6"/>
    <w:rsid w:val="00A1686A"/>
    <w:rsid w:val="00A17458"/>
    <w:rsid w:val="00A332DB"/>
    <w:rsid w:val="00A35165"/>
    <w:rsid w:val="00A370BB"/>
    <w:rsid w:val="00A40F87"/>
    <w:rsid w:val="00A43DC4"/>
    <w:rsid w:val="00A4495D"/>
    <w:rsid w:val="00A4599B"/>
    <w:rsid w:val="00A50385"/>
    <w:rsid w:val="00A514D0"/>
    <w:rsid w:val="00A63DE6"/>
    <w:rsid w:val="00A81BFF"/>
    <w:rsid w:val="00A81CFC"/>
    <w:rsid w:val="00A82979"/>
    <w:rsid w:val="00A91D7D"/>
    <w:rsid w:val="00A97EE4"/>
    <w:rsid w:val="00AA33B0"/>
    <w:rsid w:val="00AA50C8"/>
    <w:rsid w:val="00AB2859"/>
    <w:rsid w:val="00AB3D81"/>
    <w:rsid w:val="00AB72A8"/>
    <w:rsid w:val="00AB7D71"/>
    <w:rsid w:val="00AC7EF3"/>
    <w:rsid w:val="00AD092D"/>
    <w:rsid w:val="00AD6FA9"/>
    <w:rsid w:val="00AE1288"/>
    <w:rsid w:val="00AE4E94"/>
    <w:rsid w:val="00AE7188"/>
    <w:rsid w:val="00AF3B13"/>
    <w:rsid w:val="00B00CF7"/>
    <w:rsid w:val="00B01257"/>
    <w:rsid w:val="00B0688D"/>
    <w:rsid w:val="00B1303E"/>
    <w:rsid w:val="00B158EC"/>
    <w:rsid w:val="00B17748"/>
    <w:rsid w:val="00B229DC"/>
    <w:rsid w:val="00B32829"/>
    <w:rsid w:val="00B3746F"/>
    <w:rsid w:val="00B40525"/>
    <w:rsid w:val="00B4157F"/>
    <w:rsid w:val="00B41D82"/>
    <w:rsid w:val="00B44895"/>
    <w:rsid w:val="00B45729"/>
    <w:rsid w:val="00B47A2E"/>
    <w:rsid w:val="00B71805"/>
    <w:rsid w:val="00B87757"/>
    <w:rsid w:val="00B90346"/>
    <w:rsid w:val="00B90466"/>
    <w:rsid w:val="00B9192C"/>
    <w:rsid w:val="00BA12A3"/>
    <w:rsid w:val="00BB345A"/>
    <w:rsid w:val="00BB68ED"/>
    <w:rsid w:val="00BB6CAC"/>
    <w:rsid w:val="00BC159D"/>
    <w:rsid w:val="00BC4114"/>
    <w:rsid w:val="00BC48DF"/>
    <w:rsid w:val="00BC7B34"/>
    <w:rsid w:val="00BD282B"/>
    <w:rsid w:val="00BE0C64"/>
    <w:rsid w:val="00BE3FE0"/>
    <w:rsid w:val="00BE47D8"/>
    <w:rsid w:val="00BE7253"/>
    <w:rsid w:val="00C04697"/>
    <w:rsid w:val="00C05ABC"/>
    <w:rsid w:val="00C25E27"/>
    <w:rsid w:val="00C36A90"/>
    <w:rsid w:val="00C436B1"/>
    <w:rsid w:val="00C53FDF"/>
    <w:rsid w:val="00C64263"/>
    <w:rsid w:val="00C64DC2"/>
    <w:rsid w:val="00C6503F"/>
    <w:rsid w:val="00C7503C"/>
    <w:rsid w:val="00C8335E"/>
    <w:rsid w:val="00C84CE2"/>
    <w:rsid w:val="00C973FD"/>
    <w:rsid w:val="00CA16E0"/>
    <w:rsid w:val="00CA67B8"/>
    <w:rsid w:val="00CA6CCE"/>
    <w:rsid w:val="00CA7E12"/>
    <w:rsid w:val="00CB2E83"/>
    <w:rsid w:val="00CC3ED7"/>
    <w:rsid w:val="00CC5716"/>
    <w:rsid w:val="00CE0BC9"/>
    <w:rsid w:val="00CE1489"/>
    <w:rsid w:val="00D123C6"/>
    <w:rsid w:val="00D12E24"/>
    <w:rsid w:val="00D14C77"/>
    <w:rsid w:val="00D151B1"/>
    <w:rsid w:val="00D2045C"/>
    <w:rsid w:val="00D22825"/>
    <w:rsid w:val="00D26EFF"/>
    <w:rsid w:val="00D37ED0"/>
    <w:rsid w:val="00D467F8"/>
    <w:rsid w:val="00D540AF"/>
    <w:rsid w:val="00D55634"/>
    <w:rsid w:val="00D55B40"/>
    <w:rsid w:val="00D564BF"/>
    <w:rsid w:val="00D6093C"/>
    <w:rsid w:val="00D614B9"/>
    <w:rsid w:val="00D638C1"/>
    <w:rsid w:val="00D66F35"/>
    <w:rsid w:val="00D73D44"/>
    <w:rsid w:val="00D76AC5"/>
    <w:rsid w:val="00D806E5"/>
    <w:rsid w:val="00D843A6"/>
    <w:rsid w:val="00D87744"/>
    <w:rsid w:val="00D91FD3"/>
    <w:rsid w:val="00D967AC"/>
    <w:rsid w:val="00D96B42"/>
    <w:rsid w:val="00D97142"/>
    <w:rsid w:val="00DA20DF"/>
    <w:rsid w:val="00DA42B8"/>
    <w:rsid w:val="00DB042D"/>
    <w:rsid w:val="00DB6BB0"/>
    <w:rsid w:val="00DC1503"/>
    <w:rsid w:val="00DC1E35"/>
    <w:rsid w:val="00DC2245"/>
    <w:rsid w:val="00DE1CC0"/>
    <w:rsid w:val="00DE6004"/>
    <w:rsid w:val="00DE6F13"/>
    <w:rsid w:val="00DF3882"/>
    <w:rsid w:val="00E211DB"/>
    <w:rsid w:val="00E21F1B"/>
    <w:rsid w:val="00E243D5"/>
    <w:rsid w:val="00E3718C"/>
    <w:rsid w:val="00E40AF3"/>
    <w:rsid w:val="00E43664"/>
    <w:rsid w:val="00E47517"/>
    <w:rsid w:val="00E50A4D"/>
    <w:rsid w:val="00E708AF"/>
    <w:rsid w:val="00E710C5"/>
    <w:rsid w:val="00E74D4D"/>
    <w:rsid w:val="00E758BC"/>
    <w:rsid w:val="00E80C83"/>
    <w:rsid w:val="00E83A9B"/>
    <w:rsid w:val="00E868A0"/>
    <w:rsid w:val="00E871A0"/>
    <w:rsid w:val="00E871D5"/>
    <w:rsid w:val="00E920B1"/>
    <w:rsid w:val="00E95AFE"/>
    <w:rsid w:val="00E96260"/>
    <w:rsid w:val="00EA2FC2"/>
    <w:rsid w:val="00EA40D0"/>
    <w:rsid w:val="00EB6377"/>
    <w:rsid w:val="00ED03ED"/>
    <w:rsid w:val="00ED24DA"/>
    <w:rsid w:val="00ED2EE0"/>
    <w:rsid w:val="00ED3756"/>
    <w:rsid w:val="00ED7F80"/>
    <w:rsid w:val="00EE4189"/>
    <w:rsid w:val="00EF6626"/>
    <w:rsid w:val="00F02231"/>
    <w:rsid w:val="00F0568B"/>
    <w:rsid w:val="00F1470A"/>
    <w:rsid w:val="00F2044B"/>
    <w:rsid w:val="00F3115D"/>
    <w:rsid w:val="00F31CBD"/>
    <w:rsid w:val="00F32011"/>
    <w:rsid w:val="00F33DF1"/>
    <w:rsid w:val="00F350F8"/>
    <w:rsid w:val="00F42E65"/>
    <w:rsid w:val="00F43A02"/>
    <w:rsid w:val="00F45884"/>
    <w:rsid w:val="00F470AC"/>
    <w:rsid w:val="00F52795"/>
    <w:rsid w:val="00F5294A"/>
    <w:rsid w:val="00F52FA1"/>
    <w:rsid w:val="00F553FE"/>
    <w:rsid w:val="00F63939"/>
    <w:rsid w:val="00F67E59"/>
    <w:rsid w:val="00F82D3A"/>
    <w:rsid w:val="00F91AD0"/>
    <w:rsid w:val="00F9279F"/>
    <w:rsid w:val="00F92DD8"/>
    <w:rsid w:val="00F95006"/>
    <w:rsid w:val="00FA1E7C"/>
    <w:rsid w:val="00FA6D2A"/>
    <w:rsid w:val="00FB05E4"/>
    <w:rsid w:val="00FC4062"/>
    <w:rsid w:val="00FD38E1"/>
    <w:rsid w:val="00FD533C"/>
    <w:rsid w:val="00FE0F65"/>
    <w:rsid w:val="00FE274F"/>
    <w:rsid w:val="00FE62E6"/>
    <w:rsid w:val="00FE7905"/>
    <w:rsid w:val="00FF0072"/>
    <w:rsid w:val="00FF0B06"/>
    <w:rsid w:val="00FF35A9"/>
    <w:rsid w:val="00FF4BE6"/>
    <w:rsid w:val="00FF5AAD"/>
    <w:rsid w:val="03D30CDD"/>
    <w:rsid w:val="050DE6A3"/>
    <w:rsid w:val="05C572CC"/>
    <w:rsid w:val="05E12B2B"/>
    <w:rsid w:val="06D22F3E"/>
    <w:rsid w:val="08BAEFDE"/>
    <w:rsid w:val="0AAD146A"/>
    <w:rsid w:val="0DCF4C70"/>
    <w:rsid w:val="126B1004"/>
    <w:rsid w:val="13244DC7"/>
    <w:rsid w:val="1341AF86"/>
    <w:rsid w:val="1444E6E8"/>
    <w:rsid w:val="164BBB4E"/>
    <w:rsid w:val="1FCD803C"/>
    <w:rsid w:val="22C8EA64"/>
    <w:rsid w:val="2394136B"/>
    <w:rsid w:val="24AC4EE2"/>
    <w:rsid w:val="26A3E0AF"/>
    <w:rsid w:val="27EA1F7B"/>
    <w:rsid w:val="28618BAD"/>
    <w:rsid w:val="28DB0913"/>
    <w:rsid w:val="2DFF2A71"/>
    <w:rsid w:val="2E1756AF"/>
    <w:rsid w:val="3178B476"/>
    <w:rsid w:val="36609777"/>
    <w:rsid w:val="36D8BC7C"/>
    <w:rsid w:val="39B5D049"/>
    <w:rsid w:val="4445E19B"/>
    <w:rsid w:val="450C528E"/>
    <w:rsid w:val="4EBFDD47"/>
    <w:rsid w:val="4EFC3212"/>
    <w:rsid w:val="4F7A91BD"/>
    <w:rsid w:val="514B1A55"/>
    <w:rsid w:val="51BEFFA8"/>
    <w:rsid w:val="52151619"/>
    <w:rsid w:val="54F0182F"/>
    <w:rsid w:val="561D29B7"/>
    <w:rsid w:val="582D1C81"/>
    <w:rsid w:val="59E5DB94"/>
    <w:rsid w:val="5BBF7FA7"/>
    <w:rsid w:val="5CC2E9DA"/>
    <w:rsid w:val="5CEFE75C"/>
    <w:rsid w:val="6019043B"/>
    <w:rsid w:val="655E18F1"/>
    <w:rsid w:val="6787FBE4"/>
    <w:rsid w:val="694CCEB3"/>
    <w:rsid w:val="6F0428B8"/>
    <w:rsid w:val="6FD40783"/>
    <w:rsid w:val="70F2D0E0"/>
    <w:rsid w:val="72D4DEB1"/>
    <w:rsid w:val="73D011F7"/>
    <w:rsid w:val="74A3567F"/>
    <w:rsid w:val="74E10646"/>
    <w:rsid w:val="755A83AC"/>
    <w:rsid w:val="786BD58B"/>
    <w:rsid w:val="7A72A9F1"/>
    <w:rsid w:val="7C4C80D5"/>
    <w:rsid w:val="7E68267F"/>
    <w:rsid w:val="7F3E9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D9C15F"/>
  <w15:chartTrackingRefBased/>
  <w15:docId w15:val="{BB6E96F5-A760-4DEC-82C4-79801EC6C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473"/>
    <w:pPr>
      <w:spacing w:after="0"/>
    </w:pPr>
    <w:rPr>
      <w:b/>
      <w:color w:val="0F0F3F" w:themeColor="text1"/>
      <w:sz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57F4"/>
    <w:pPr>
      <w:keepNext/>
      <w:keepLines/>
      <w:framePr w:hSpace="180" w:wrap="around" w:vAnchor="page" w:hAnchor="margin" w:y="974"/>
      <w:contextualSpacing/>
      <w:jc w:val="both"/>
      <w:outlineLvl w:val="0"/>
    </w:pPr>
    <w:rPr>
      <w:rFonts w:asciiTheme="majorHAnsi" w:eastAsiaTheme="majorEastAsia" w:hAnsiTheme="majorHAnsi" w:cstheme="majorBidi"/>
      <w:bCs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78B9"/>
    <w:pPr>
      <w:framePr w:hSpace="180" w:wrap="around" w:vAnchor="page" w:hAnchor="margin" w:y="3427"/>
      <w:spacing w:after="200"/>
      <w:outlineLvl w:val="1"/>
    </w:pPr>
    <w:rPr>
      <w:rFonts w:asciiTheme="majorHAnsi" w:hAnsiTheme="majorHAnsi"/>
      <w:color w:val="0189F9" w:themeColor="accent1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57F4"/>
    <w:pPr>
      <w:outlineLvl w:val="2"/>
    </w:pPr>
    <w:rPr>
      <w:rFonts w:asciiTheme="majorHAnsi" w:hAnsiTheme="majorHAns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223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65B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0189F9" w:themeColor="accent1"/>
      <w:spacing w:val="0"/>
    </w:rPr>
  </w:style>
  <w:style w:type="character" w:customStyle="1" w:styleId="Heading1Char">
    <w:name w:val="Heading 1 Char"/>
    <w:basedOn w:val="DefaultParagraphFont"/>
    <w:link w:val="Heading1"/>
    <w:uiPriority w:val="9"/>
    <w:rsid w:val="007057F4"/>
    <w:rPr>
      <w:rFonts w:asciiTheme="majorHAnsi" w:eastAsiaTheme="majorEastAsia" w:hAnsiTheme="majorHAnsi" w:cstheme="majorBidi"/>
      <w:b/>
      <w:bCs/>
      <w:color w:val="0F0F3F" w:themeColor="text1"/>
      <w:sz w:val="4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178B9"/>
    <w:rPr>
      <w:rFonts w:asciiTheme="majorHAnsi" w:hAnsiTheme="majorHAnsi"/>
      <w:b/>
      <w:color w:val="0189F9" w:themeColor="accent1"/>
      <w:sz w:val="40"/>
      <w:szCs w:val="40"/>
      <w:lang w:eastAsia="en-US"/>
    </w:rPr>
  </w:style>
  <w:style w:type="paragraph" w:styleId="ListBullet">
    <w:name w:val="List Bullet"/>
    <w:basedOn w:val="Content"/>
    <w:uiPriority w:val="11"/>
    <w:qFormat/>
    <w:rsid w:val="005C3643"/>
    <w:pPr>
      <w:framePr w:wrap="around"/>
      <w:numPr>
        <w:numId w:val="17"/>
      </w:numPr>
    </w:pPr>
    <w:rPr>
      <w:noProof/>
    </w:rPr>
  </w:style>
  <w:style w:type="paragraph" w:customStyle="1" w:styleId="AlignedText">
    <w:name w:val="Aligned Text"/>
    <w:basedOn w:val="Heading3"/>
    <w:uiPriority w:val="2"/>
    <w:qFormat/>
    <w:rsid w:val="004F2231"/>
  </w:style>
  <w:style w:type="paragraph" w:styleId="TOC1">
    <w:name w:val="toc 1"/>
    <w:basedOn w:val="Normal"/>
    <w:uiPriority w:val="39"/>
    <w:pPr>
      <w:tabs>
        <w:tab w:val="right" w:leader="dot" w:pos="5040"/>
      </w:tabs>
    </w:pPr>
  </w:style>
  <w:style w:type="paragraph" w:styleId="TOC2">
    <w:name w:val="toc 2"/>
    <w:basedOn w:val="Normal"/>
    <w:uiPriority w:val="39"/>
    <w:pPr>
      <w:tabs>
        <w:tab w:val="right" w:leader="dot" w:pos="5040"/>
      </w:tabs>
    </w:pPr>
  </w:style>
  <w:style w:type="paragraph" w:styleId="Title">
    <w:name w:val="Title"/>
    <w:basedOn w:val="Normal"/>
    <w:link w:val="TitleChar"/>
    <w:uiPriority w:val="1"/>
    <w:qFormat/>
    <w:rsid w:val="002E0194"/>
    <w:pPr>
      <w:framePr w:hSpace="180" w:wrap="around" w:vAnchor="page" w:hAnchor="margin" w:y="974"/>
      <w:spacing w:line="240" w:lineRule="auto"/>
      <w:contextualSpacing/>
    </w:pPr>
    <w:rPr>
      <w:rFonts w:asciiTheme="majorHAnsi" w:eastAsiaTheme="majorEastAsia" w:hAnsiTheme="majorHAnsi" w:cstheme="majorBidi"/>
      <w:kern w:val="28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"/>
    <w:rsid w:val="002E0194"/>
    <w:rPr>
      <w:rFonts w:asciiTheme="majorHAnsi" w:eastAsiaTheme="majorEastAsia" w:hAnsiTheme="majorHAnsi" w:cstheme="majorBidi"/>
      <w:b/>
      <w:color w:val="0F0F3F" w:themeColor="text1"/>
      <w:kern w:val="28"/>
      <w:sz w:val="80"/>
      <w:szCs w:val="80"/>
      <w:lang w:eastAsia="en-US"/>
    </w:rPr>
  </w:style>
  <w:style w:type="paragraph" w:styleId="TOCHeading">
    <w:name w:val="TOC Heading"/>
    <w:basedOn w:val="Heading1"/>
    <w:next w:val="Normal"/>
    <w:uiPriority w:val="39"/>
    <w:qFormat/>
    <w:rsid w:val="001F0AF0"/>
    <w:pPr>
      <w:pageBreakBefore/>
      <w:framePr w:wrap="around"/>
      <w:outlineLvl w:val="9"/>
    </w:pPr>
    <w:rPr>
      <w:caps/>
    </w:rPr>
  </w:style>
  <w:style w:type="paragraph" w:styleId="Footer">
    <w:name w:val="footer"/>
    <w:basedOn w:val="Normal"/>
    <w:link w:val="FooterChar"/>
    <w:uiPriority w:val="99"/>
    <w:pPr>
      <w:spacing w:line="240" w:lineRule="auto"/>
      <w:ind w:right="130"/>
      <w:jc w:val="right"/>
    </w:pPr>
  </w:style>
  <w:style w:type="character" w:customStyle="1" w:styleId="FooterChar">
    <w:name w:val="Footer Char"/>
    <w:basedOn w:val="DefaultParagraphFont"/>
    <w:link w:val="Footer"/>
    <w:uiPriority w:val="99"/>
    <w:rPr>
      <w:lang w:eastAsia="en-US"/>
    </w:rPr>
  </w:style>
  <w:style w:type="paragraph" w:styleId="Header">
    <w:name w:val="header"/>
    <w:basedOn w:val="Normal"/>
    <w:link w:val="HeaderChar"/>
    <w:uiPriority w:val="99"/>
    <w:pPr>
      <w:spacing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rPr>
      <w:lang w:eastAsia="en-US"/>
    </w:rPr>
  </w:style>
  <w:style w:type="table" w:styleId="TableGrid">
    <w:name w:val="Table Grid"/>
    <w:basedOn w:val="TableNormal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eastAsia="en-US"/>
    </w:rPr>
  </w:style>
  <w:style w:type="paragraph" w:styleId="ListNumber">
    <w:name w:val="List Number"/>
    <w:basedOn w:val="Normal"/>
    <w:uiPriority w:val="10"/>
    <w:qFormat/>
    <w:rsid w:val="00B0688D"/>
    <w:pPr>
      <w:numPr>
        <w:numId w:val="2"/>
      </w:numPr>
    </w:pPr>
    <w:rPr>
      <w:rFonts w:eastAsiaTheme="minorHAnsi"/>
      <w:b w:val="0"/>
    </w:rPr>
  </w:style>
  <w:style w:type="character" w:customStyle="1" w:styleId="Heading3Char">
    <w:name w:val="Heading 3 Char"/>
    <w:basedOn w:val="DefaultParagraphFont"/>
    <w:link w:val="Heading3"/>
    <w:uiPriority w:val="9"/>
    <w:rsid w:val="007057F4"/>
    <w:rPr>
      <w:rFonts w:asciiTheme="majorHAnsi" w:hAnsiTheme="majorHAnsi"/>
      <w:b/>
      <w:color w:val="0F0F3F" w:themeColor="text1"/>
      <w:sz w:val="32"/>
      <w:szCs w:val="3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7057F4"/>
    <w:pPr>
      <w:spacing w:after="100"/>
      <w:ind w:left="560"/>
    </w:pPr>
  </w:style>
  <w:style w:type="character" w:styleId="Hyperlink">
    <w:name w:val="Hyperlink"/>
    <w:basedOn w:val="DefaultParagraphFont"/>
    <w:uiPriority w:val="99"/>
    <w:unhideWhenUsed/>
    <w:rsid w:val="007057F4"/>
    <w:rPr>
      <w:color w:val="60C5E8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4F2231"/>
    <w:rPr>
      <w:rFonts w:asciiTheme="majorHAnsi" w:eastAsiaTheme="majorEastAsia" w:hAnsiTheme="majorHAnsi" w:cstheme="majorBidi"/>
      <w:b/>
      <w:i/>
      <w:iCs/>
      <w:color w:val="0065BA" w:themeColor="accent1" w:themeShade="BF"/>
      <w:sz w:val="28"/>
      <w:lang w:eastAsia="en-US"/>
    </w:rPr>
  </w:style>
  <w:style w:type="paragraph" w:customStyle="1" w:styleId="Content">
    <w:name w:val="Content"/>
    <w:basedOn w:val="Normal"/>
    <w:link w:val="ContentChar"/>
    <w:qFormat/>
    <w:rsid w:val="002178B9"/>
    <w:pPr>
      <w:framePr w:hSpace="180" w:wrap="around" w:vAnchor="page" w:hAnchor="margin" w:y="3427"/>
      <w:spacing w:line="240" w:lineRule="auto"/>
    </w:pPr>
    <w:rPr>
      <w:b w:val="0"/>
    </w:rPr>
  </w:style>
  <w:style w:type="character" w:styleId="Emphasis">
    <w:name w:val="Emphasis"/>
    <w:basedOn w:val="DefaultParagraphFont"/>
    <w:uiPriority w:val="20"/>
    <w:unhideWhenUsed/>
    <w:qFormat/>
    <w:rsid w:val="007C7473"/>
    <w:rPr>
      <w:i/>
      <w:iCs/>
    </w:rPr>
  </w:style>
  <w:style w:type="character" w:customStyle="1" w:styleId="ContentChar">
    <w:name w:val="Content Char"/>
    <w:basedOn w:val="DefaultParagraphFont"/>
    <w:link w:val="Content"/>
    <w:rsid w:val="002178B9"/>
    <w:rPr>
      <w:color w:val="0F0F3F" w:themeColor="text1"/>
      <w:sz w:val="28"/>
      <w:lang w:eastAsia="en-US"/>
    </w:rPr>
  </w:style>
  <w:style w:type="paragraph" w:customStyle="1" w:styleId="CAPRecipient">
    <w:name w:val="CAP_Recipient"/>
    <w:basedOn w:val="Normal"/>
    <w:rsid w:val="009D0648"/>
    <w:pPr>
      <w:spacing w:line="240" w:lineRule="exact"/>
    </w:pPr>
    <w:rPr>
      <w:rFonts w:ascii="Arial" w:eastAsia="Times New Roman" w:hAnsi="Arial" w:cs="Times New Roman"/>
      <w:b w:val="0"/>
      <w:color w:val="auto"/>
      <w:sz w:val="20"/>
      <w:szCs w:val="24"/>
      <w:lang w:val="en-GB" w:eastAsia="en-GB"/>
    </w:rPr>
  </w:style>
  <w:style w:type="paragraph" w:customStyle="1" w:styleId="CAPRowheaders">
    <w:name w:val="CAP_Row headers"/>
    <w:rsid w:val="009D0648"/>
    <w:pPr>
      <w:spacing w:after="0" w:line="240" w:lineRule="exact"/>
    </w:pPr>
    <w:rPr>
      <w:rFonts w:ascii="Arial" w:eastAsia="Times New Roman" w:hAnsi="Arial" w:cs="Times New Roman"/>
      <w:sz w:val="20"/>
      <w:szCs w:val="24"/>
      <w:lang w:val="en-GB" w:eastAsia="en-GB"/>
    </w:rPr>
  </w:style>
  <w:style w:type="paragraph" w:customStyle="1" w:styleId="CAPTabColumnHeading">
    <w:name w:val="CAP_Tab Column Heading"/>
    <w:basedOn w:val="Normal"/>
    <w:rsid w:val="009D0648"/>
    <w:pPr>
      <w:spacing w:line="220" w:lineRule="exact"/>
    </w:pPr>
    <w:rPr>
      <w:rFonts w:ascii="Arial" w:eastAsia="Times New Roman" w:hAnsi="Arial" w:cs="Times New Roman"/>
      <w:color w:val="auto"/>
      <w:sz w:val="18"/>
      <w:szCs w:val="24"/>
      <w:lang w:val="en-GB" w:eastAsia="en-GB"/>
    </w:rPr>
  </w:style>
  <w:style w:type="paragraph" w:customStyle="1" w:styleId="CAPTabNormal">
    <w:name w:val="CAP_Tab Normal"/>
    <w:basedOn w:val="Normal"/>
    <w:rsid w:val="009D0648"/>
    <w:pPr>
      <w:spacing w:line="240" w:lineRule="exact"/>
    </w:pPr>
    <w:rPr>
      <w:rFonts w:ascii="Arial" w:eastAsia="Times New Roman" w:hAnsi="Arial" w:cs="Times New Roman"/>
      <w:b w:val="0"/>
      <w:color w:val="auto"/>
      <w:sz w:val="20"/>
      <w:szCs w:val="24"/>
      <w:lang w:val="en-GB" w:eastAsia="en-GB"/>
    </w:rPr>
  </w:style>
  <w:style w:type="paragraph" w:customStyle="1" w:styleId="MPColumnHeader">
    <w:name w:val="MP_Column Header"/>
    <w:basedOn w:val="Normal"/>
    <w:link w:val="MPColumnHeaderChar"/>
    <w:rsid w:val="009D0648"/>
    <w:pPr>
      <w:spacing w:line="240" w:lineRule="exact"/>
    </w:pPr>
    <w:rPr>
      <w:rFonts w:ascii="Arial" w:eastAsia="Times New Roman" w:hAnsi="Arial" w:cs="Times New Roman"/>
      <w:color w:val="auto"/>
      <w:sz w:val="20"/>
      <w:szCs w:val="24"/>
      <w:lang w:val="en-GB"/>
    </w:rPr>
  </w:style>
  <w:style w:type="character" w:customStyle="1" w:styleId="MPColumnHeaderChar">
    <w:name w:val="MP_Column Header Char"/>
    <w:link w:val="MPColumnHeader"/>
    <w:rsid w:val="009D0648"/>
    <w:rPr>
      <w:rFonts w:ascii="Arial" w:eastAsia="Times New Roman" w:hAnsi="Arial" w:cs="Times New Roman"/>
      <w:b/>
      <w:sz w:val="20"/>
      <w:szCs w:val="24"/>
      <w:lang w:val="en-GB" w:eastAsia="en-US"/>
    </w:rPr>
  </w:style>
  <w:style w:type="paragraph" w:customStyle="1" w:styleId="CAPItemNumber">
    <w:name w:val="CAP_Item Number"/>
    <w:rsid w:val="009D0648"/>
    <w:pPr>
      <w:numPr>
        <w:numId w:val="21"/>
      </w:numPr>
      <w:spacing w:after="0" w:line="240" w:lineRule="exact"/>
    </w:pPr>
    <w:rPr>
      <w:rFonts w:ascii="Arial" w:eastAsia="Times New Roman" w:hAnsi="Arial" w:cs="Times New Roman"/>
      <w:sz w:val="20"/>
      <w:szCs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5E3F44"/>
    <w:pPr>
      <w:spacing w:line="240" w:lineRule="auto"/>
      <w:ind w:left="720"/>
    </w:pPr>
    <w:rPr>
      <w:rFonts w:ascii="Calibri" w:eastAsia="Calibri" w:hAnsi="Calibri" w:cs="Times New Roman"/>
      <w:b w:val="0"/>
      <w:color w:val="auto"/>
      <w:sz w:val="22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8531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04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7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arie.bowden\AppData\Roaming\Microsoft\Templates\Business%20report%20(graphic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012FBF231044A0C9FC8244C0AE91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AD00B-04CA-4224-AB30-33A1FC2C56EA}"/>
      </w:docPartPr>
      <w:docPartBody>
        <w:p w:rsidR="00414CC8" w:rsidRDefault="00414CC8">
          <w:pPr>
            <w:pStyle w:val="F012FBF231044A0C9FC8244C0AE91E2F"/>
          </w:pPr>
          <w:r>
            <w:t>Type chapter title (level 1)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CC8"/>
    <w:rsid w:val="0016660C"/>
    <w:rsid w:val="001C7CBF"/>
    <w:rsid w:val="00245329"/>
    <w:rsid w:val="002B016B"/>
    <w:rsid w:val="002B36E5"/>
    <w:rsid w:val="00414CC8"/>
    <w:rsid w:val="004E40C3"/>
    <w:rsid w:val="005012C5"/>
    <w:rsid w:val="00722C10"/>
    <w:rsid w:val="00787531"/>
    <w:rsid w:val="00792BBD"/>
    <w:rsid w:val="007B5A4A"/>
    <w:rsid w:val="007D0FFF"/>
    <w:rsid w:val="008C1CEE"/>
    <w:rsid w:val="00A0712B"/>
    <w:rsid w:val="00A2725C"/>
    <w:rsid w:val="00A631D9"/>
    <w:rsid w:val="00BD371F"/>
    <w:rsid w:val="00C406D3"/>
    <w:rsid w:val="00D252EA"/>
    <w:rsid w:val="00DD219B"/>
    <w:rsid w:val="00E67E5D"/>
    <w:rsid w:val="00EB3835"/>
    <w:rsid w:val="00FD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012FBF231044A0C9FC8244C0AE91E2F">
    <w:name w:val="F012FBF231044A0C9FC8244C0AE91E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Report">
  <a:themeElements>
    <a:clrScheme name="Custom 50">
      <a:dk1>
        <a:srgbClr val="0F0F3F"/>
      </a:dk1>
      <a:lt1>
        <a:sysClr val="window" lastClr="FFFFFF"/>
      </a:lt1>
      <a:dk2>
        <a:srgbClr val="292561"/>
      </a:dk2>
      <a:lt2>
        <a:srgbClr val="F2F2F2"/>
      </a:lt2>
      <a:accent1>
        <a:srgbClr val="0189F9"/>
      </a:accent1>
      <a:accent2>
        <a:srgbClr val="293B90"/>
      </a:accent2>
      <a:accent3>
        <a:srgbClr val="2664B0"/>
      </a:accent3>
      <a:accent4>
        <a:srgbClr val="5998D2"/>
      </a:accent4>
      <a:accent5>
        <a:srgbClr val="60C5E8"/>
      </a:accent5>
      <a:accent6>
        <a:srgbClr val="2664B0"/>
      </a:accent6>
      <a:hlink>
        <a:srgbClr val="60C5E8"/>
      </a:hlink>
      <a:folHlink>
        <a:srgbClr val="60C5E8"/>
      </a:folHlink>
    </a:clrScheme>
    <a:fontScheme name="Custom 4">
      <a:majorFont>
        <a:latin typeface="Gill Sans MT"/>
        <a:ea typeface=""/>
        <a:cs typeface=""/>
      </a:majorFont>
      <a:minorFont>
        <a:latin typeface="Calibri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091176089614B92B08DA7E1CC0E98" ma:contentTypeVersion="12" ma:contentTypeDescription="Create a new document." ma:contentTypeScope="" ma:versionID="de3d943cfdf5badaf114081422823b2f">
  <xsd:schema xmlns:xsd="http://www.w3.org/2001/XMLSchema" xmlns:xs="http://www.w3.org/2001/XMLSchema" xmlns:p="http://schemas.microsoft.com/office/2006/metadata/properties" xmlns:ns3="458d6a46-55e7-4e36-a48d-f8c0b30f8b1a" xmlns:ns4="ce9f5e37-8f4c-4090-bb8b-f6c01c26bd92" targetNamespace="http://schemas.microsoft.com/office/2006/metadata/properties" ma:root="true" ma:fieldsID="c9c07a2cf359b17debd7f5d7561122de" ns3:_="" ns4:_="">
    <xsd:import namespace="458d6a46-55e7-4e36-a48d-f8c0b30f8b1a"/>
    <xsd:import namespace="ce9f5e37-8f4c-4090-bb8b-f6c01c26bd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d6a46-55e7-4e36-a48d-f8c0b30f8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f5e37-8f4c-4090-bb8b-f6c01c26bd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66C87F-3B99-4207-8FAF-6A925F5FC9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9A8CDA-9B2A-452D-84F1-E4C7F3CB57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F7C827-03EA-4B40-85F3-AFB724F40E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d6a46-55e7-4e36-a48d-f8c0b30f8b1a"/>
    <ds:schemaRef ds:uri="ce9f5e37-8f4c-4090-bb8b-f6c01c26bd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report (graphic design)</Template>
  <TotalTime>0</TotalTime>
  <Pages>3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Senior External Reporting Accountant - Job Specification</vt:lpstr>
    </vt:vector>
  </TitlesOfParts>
  <Company/>
  <LinksUpToDate>false</LinksUpToDate>
  <CharactersWithSpaces>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Senior External Reporting Accountant - Job Specification</dc:title>
  <dc:subject>External Reporting</dc:subject>
  <dc:creator>Marie Bowden</dc:creator>
  <cp:keywords/>
  <dc:description>Updated senior role specification</dc:description>
  <cp:lastModifiedBy>Tom Harrington</cp:lastModifiedBy>
  <cp:revision>2</cp:revision>
  <cp:lastPrinted>2019-08-08T05:44:00Z</cp:lastPrinted>
  <dcterms:created xsi:type="dcterms:W3CDTF">2026-08-28T13:07:00Z</dcterms:created>
  <dcterms:modified xsi:type="dcterms:W3CDTF">2026-08-28T13:07:00Z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0x010100436091176089614B92B08DA7E1CC0E98</vt:lpwstr>
  </property>
</Properties>
</file>